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VB.2018.00462 vom 15. November 2018</w:t>
      </w:r>
    </w:p>
    <w:p>
      <w:r>
        <w:t>ZH Verwaltungsgericht, 2018-11-15, DE</w:t>
      </w:r>
    </w:p>
    <w:p>
      <w:r>
        <w:rPr>
          <w:b/>
        </w:rPr>
        <w:t xml:space="preserve">Quelle: </w:t>
      </w:r>
      <w:r>
        <w:t>https://mcp.opencaselaw.ch/entscheid/zh_verwaltungsgericht__VB.2018.00462</w:t>
      </w:r>
    </w:p>
    <w:p>
      <w:r>
        <w:t>FR: ZH_VERWALTUNGSGERICHT VB.2018.00462 du 15 novembre 2018</w:t>
      </w:r>
    </w:p>
    <w:p>
      <w:r>
        <w:t>IT: ZH_VERWALTUNGSGERICHT VB.2018.00462 del 15 novembre 2018</w:t>
      </w:r>
    </w:p>
    <w:p>
      <w:pPr>
        <w:pStyle w:val="Heading2"/>
      </w:pPr>
      <w:r>
        <w:t>Regeste</w:t>
      </w:r>
    </w:p>
    <w:p>
      <w:r>
        <w:t>Quartierplan (Kostenverleger) | Anfechtbarkeit eines Kostenvorschusses im Quartierplanverfahren. Gemäss Rechtsprechung des Verwaltungsgerichts handelt es sich bei der Anordnung einer Quartierplanbehörde, Kostenvorschüsse zu verlangen, um einen Zwischenentscheid. Für die Anfechtbarkeit von Zwischenentscheiden verweist § 19a Abs. 2 VRG sinngemäss auf Art. 91-93 BGG. Dass § 19a Abs. 2 VRG nur "sinngemäss" auf Art. 91-93 BGG verweist, erlaubt, die unterschiedlichen Aufgaben des Baurekurs-, Verwaltungs-, und Bundesgerichts zu berücksichtigen. Deshalb erweist sich vor Verwaltungsgericht bzw. vor Baurekursgericht unter Umständen auch ein Zwischenentscheid als anfechtbar, der vor Bundesgericht bzw. Verwaltungsgericht nicht angefochten werden könnte. Im Unterschied zum Baurekursgericht verneinten das Verwaltungsgericht sowie das Bundesgericht die Anfechtbarkeit von Zwischenentscheiden betreffend Akontozahlungen im Quartierplanverfahren. Denn nach der Rechtsprechung bedarf es eines nicht wiedergutzumachenden Nachteils rechtlicher Natur, welcher nicht gegeben ist (E. 2). Nichteintreten.</w:t>
      </w:r>
    </w:p>
    <w:p>
      <w:pPr>
        <w:pStyle w:val="Heading2"/>
      </w:pPr>
      <w:r>
        <w:t>Erwägungen</w:t>
      </w:r>
    </w:p>
    <w:p>
      <w:r>
        <w:rPr>
          <w:b/>
        </w:rPr>
        <w:t>E. 3</w:t>
      </w:r>
    </w:p>
    <w:p>
      <w:r>
        <w:t>Bei diesem Verfahrensausgang sind die Gerichtskosten den Beschwerdeführenden in solidarischer Haftung je zur Hälfte aufzuerlegen (§ 65a Abs. 2 in Verbindung mit § 13 Abs. 2 in Verbindung mit § 14 VRG). Bei diesem Verfahrensausgang stehen ihnen keine Parteientschädigungen zu (§ 17 Abs. 2 VRG).</w:t>
      </w:r>
    </w:p>
    <w:p>
      <w:r>
        <w:rPr>
          <w:b/>
        </w:rPr>
        <w:t>E. 4</w:t>
      </w:r>
    </w:p>
    <w:p>
      <w:r>
        <w:t>Beim vorliegenden Beschluss über das gegen einen Zwischenentscheid erhobene Rechtsmittel handelt es sich seinerseits ebenfalls um einen Zwischenentscheid (vgl. Bertschi, § 19a N. 32), der gemäss Art. 93 Abs. 1 BGG vor Bundesgericht nur direkt anfechtbar ist, wenn er einen nicht wiedergutzumachenden Nachteil bewirken könnte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