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VB.2018.00456 vom 25. April 2018</w:t>
      </w:r>
    </w:p>
    <w:p>
      <w:r>
        <w:t>ZH Verwaltungsgericht, 2018-04-25, DE</w:t>
      </w:r>
    </w:p>
    <w:p>
      <w:r>
        <w:rPr>
          <w:b/>
        </w:rPr>
        <w:t xml:space="preserve">Quelle: </w:t>
      </w:r>
      <w:r>
        <w:t>https://mcp.opencaselaw.ch/entscheid/zh_verwaltungsgericht__VB.2018.00456</w:t>
      </w:r>
    </w:p>
    <w:p>
      <w:r>
        <w:t>FR: ZH_VERWALTUNGSGERICHT VB.2018.00456 du 25 avril 2018</w:t>
      </w:r>
    </w:p>
    <w:p>
      <w:r>
        <w:t>IT: ZH_VERWALTUNGSGERICHT VB.2018.00456 del 25 aprile 2018</w:t>
      </w:r>
    </w:p>
    <w:p>
      <w:pPr>
        <w:pStyle w:val="Heading2"/>
      </w:pPr>
      <w:r>
        <w:t>Regeste</w:t>
      </w:r>
    </w:p>
    <w:p>
      <w:r>
        <w:t>Massnahmen nach Gewaltschutzgesetz GS180066 | Massnahmen nach Gewaltschutzgesetz: Verlängerung angefochten. Die Schutzmassnahmen nach Gewaltschutzgesetz sind von ihrem Zweck her auf akute Krisensituationen ausgerichtet, in denen sofortiger Schutz der gefährdeten Person notwendig ist. Die von der Beschwerdegegnerin vorgebrachten Vorwürfe waren bereits Gegenstand des früheren Gewaltschutzverfahrens sowie eines Eheschutzverfahrens. Folglich begründen diese Vorwürfe keine erneute akute Gewaltsituation, aufgrund welcher Gewaltschutzmassnahmen angeordnet werden könnten (E. 4). Die weiteren von der Beschwerdegegnerin vorgebrachten Tätlichkeiten und Drohungen des Beschwerdeführers wurden von der Vorinstanz nicht zur Begründung der Verlängerung hinzugezogen, ebenso wenig wurde der Beschwerdeführer anlässlich der mündlichen Anhörung dazu befragt. Da unklar ist, ob diese neuen Vorwürfe die Verlängerung von Gewaltschutzmassnahmen rechtfertigten, ist eine Rückweisung der Sache zur Heilung der Gehörsverletzung und nachträglichen Sachverhaltsermittlung unerlässlich (E. 5). Gewährung UP/URB. Teilweise Gutheissung und Rückweisung an Vorinstanz.</w:t>
      </w:r>
    </w:p>
    <w:p>
      <w:pPr>
        <w:pStyle w:val="Heading2"/>
      </w:pPr>
      <w:r>
        <w:t>Erwägungen</w:t>
      </w:r>
    </w:p>
    <w:p>
      <w:r>
        <w:rPr>
          <w:b/>
        </w:rPr>
        <w:t>E. 6.1</w:t>
      </w:r>
    </w:p>
    <w:p>
      <w:r>
        <w:t>Gemäss §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(BGr, 28. April 2014, 2C_846/2013, E. 3.2 mit Hinweisen; Marco Donatsch, Kommentar VRG, § 64 N. 5). Die Gerichtskosten sind demgemäss der Beschwerdegegnerin aufzuerlegen.</w:t>
      </w:r>
    </w:p>
    <w:p>
      <w:r>
        <w:rPr>
          <w:b/>
        </w:rPr>
        <w:t>E. 6.2</w:t>
      </w:r>
    </w:p>
    <w:p>
      <w:r>
        <w:t>Da sowohl die Beschwerdeführerin als auch der Beschwerdegegner unentgeltlich zu verbeiständen sind (vgl. nachfolgend E. 7), werden keine Parteientschädigungen zugesprochen (vgl. Kaspar Plüss, Kommentar VRG, § 16 N. 57; VGr, 9. Januar 2017, VB.2016.00715/00764, E. 7.1).</w:t>
      </w:r>
    </w:p>
    <w:p>
      <w:r>
        <w:rPr>
          <w:b/>
        </w:rPr>
        <w:t>E. 7.1</w:t>
      </w:r>
    </w:p>
    <w:p>
      <w:r>
        <w:t>Sowohl der Beschwerdeführer als auch die Beschwerdegegnerin stellten jeweils ein Gesuch um Gewährung der unentgeltlichen Prozessführung sowie Rechtsvertretung. Das Gesuch des Beschwerdeführers um unentgeltliche Prozessführung ist, da die Kosten der Beschwerdegegnerin aufzuerlegen sind, als gegenstandslos geworden abzuschreiben.</w:t>
      </w:r>
    </w:p>
    <w:p>
      <w:r>
        <w:rPr>
          <w:b/>
        </w:rPr>
        <w:t>E. 7.2</w:t>
      </w:r>
    </w:p>
    <w:p>
      <w:r>
        <w:t>Gemäss § 16 Abs. 1 und 2 VRG wird Privaten, welchen die nötigen Mittel fehlen und deren Begehren nicht offensichtlich aussichtslos erscheint, auf entsprechendes Ersuchen die Bezahlung von Verfahrenskosten erlassen. Sie haben zudem Anspruch auf die Bestellung eines unentgeltlichen Rechtsbeistands, wenn sie nicht in der Lage sind, ihre Rechte im Verfahren selbst zu wahren.</w:t>
      </w:r>
    </w:p>
    <w:p>
      <w:r>
        <w:rPr>
          <w:b/>
        </w:rPr>
        <w:t>E. 7.3</w:t>
      </w:r>
    </w:p>
    <w:p>
      <w:r>
        <w:t>Das Gesuch des Beschwerdeführers um Gewährung der unentgeltlichen Rechtsvertretung ist gutzuheissen, da er seine Mittellosigkeit ausreichend dargetan hat und die Beschwerde angesichts ihres Ausgangs sich nicht als aussichtslos erweist. Das Gewaltschutzverfahren geht in der Regel mit einem nicht unwesentlichen Eingriff in die Grundrechte einher. Zudem war die Beschwerdegegnerin im vorliegenden Verfahren ebenfalls anwaltlich vertreten (vgl. unten, E. 7.4.1), weshalb die Notwendigkeit bereits unter dem Gesichtspunkt der Waffengleichheit zu bejahen ist.</w:t>
      </w:r>
    </w:p>
    <w:p>
      <w:r>
        <w:rPr>
          <w:b/>
        </w:rPr>
        <w:t>E. 7.3.1</w:t>
      </w:r>
    </w:p>
    <w:p>
      <w:r>
        <w:t>Die Vertreterin des Beschwerdeführers macht in ihrer Honorarnote einen Aufwand von 12,5 Stunden sowie eine Pauschale von 4 % (Fr. 110.-) für Barauslagen geltend (insgesamt Fr. 2'860.-).</w:t>
      </w:r>
    </w:p>
    <w:p>
      <w:r>
        <w:rPr>
          <w:b/>
        </w:rPr>
        <w:t>E. 7.3.2</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7.3.3</w:t>
      </w:r>
    </w:p>
    <w:p>
      <w:r>
        <w:t>Der von der Vertreterin des Beschwerdeführers geltend gemachte Zeitaufwand von 12,5 Stunden erscheint hoch, ist doch jeweils nur der notwendige Zeitaufwand zu entschädigen (Plüss, § 16 N. 90). In ähnlich gelagerten Fällen (Aktenmenge, ähnliche Rechtsbegehren und Sachverhaltskonstellationen) beträgt der notwendige Zeitaufwand in der Regel sechs bis acht Stunden. Die Vertreterin macht nicht geltend, inwiefern vorliegend ein besonderer Aufwand vorgelegen haben sollte. Zudem wurde sie erst am 16. August 2018 anlässlich des Verfassens der Replik mandatiert; die Beschwerdeschrift vom 31. Juli 2018 verfasste der Beschwerdeführer selbständig. Im Gegensatz zu ähnlichen Fällen verfasste die Vertreterin für den Beschwerdeführer allerdings auch eine Triplik. Unter Berücksichtigung dieser Umstände erscheint ein Zeitaufwand von maximal 8,5 Stunden gerechtfertigt.</w:t>
      </w:r>
    </w:p>
    <w:p>
      <w:r>
        <w:rPr>
          <w:b/>
        </w:rPr>
        <w:t>E. 7.3.4</w:t>
      </w:r>
    </w:p>
    <w:p>
      <w:r>
        <w:t>Folglich ist Rechtsanwältin B mit Fr. 1'870.- für den Zeitaufwand und Fr. 74.80 für die Barauslagen, zuzüglich 7,7 % Mehrwertsteuer, total Fr. 2'094.55 zu entschädigen.</w:t>
      </w:r>
    </w:p>
    <w:p>
      <w:r>
        <w:rPr>
          <w:b/>
        </w:rPr>
        <w:t>E. 7.4</w:t>
      </w:r>
    </w:p>
    <w:p>
      <w:r>
        <w:t>Das Gesuch der Beschwerdegegnerin um unentgeltliche Prozessführung ist gutzuheissen; sie wird von der Sozialhilfe unterstützt, weshalb von ihrer Mittellosigkeit auszugehen ist. Die ihr aufzuerlegenden Gerichtskosten sind einstweilen auf die Gerichtskasse zu nehmen.</w:t>
      </w:r>
    </w:p>
    <w:p>
      <w:r>
        <w:rPr>
          <w:b/>
        </w:rPr>
        <w:t>E. 7.4.1</w:t>
      </w:r>
    </w:p>
    <w:p>
      <w:r>
        <w:t>Ebenfalls ist das Gesuch der Beschwerdegegnerin um unentgeltliche Rechtsvertretung gutzuheissen. Auch hier gilt, dass das Gewaltschutzverfahren in der Regel mit einem nicht unwesentlichen Eingriff in die Grundrechte einhergeht. Zudem war die Beschwerdegegnerin mangels Sprachkenntnissen wohl nicht in der Lage, ihre Rechte im Verfahren selbst zu wahren (anlässlich der Anhörung vom 24. Juli 2018 war ein Dolmetscher anwesend).</w:t>
      </w:r>
    </w:p>
    <w:p>
      <w:r>
        <w:rPr>
          <w:b/>
        </w:rPr>
        <w:t>E. 7.4.2</w:t>
      </w:r>
    </w:p>
    <w:p>
      <w:r>
        <w:t>Der Vertreter der Beschwerdegegnerin macht in seiner Honorarnote einen Aufwand von 10,5 Stunden und Fr. 74.- für Barauslagen geltend (insgesamt, Fr. 2'383.95). Der geltend gemachte Zeitaufwand erscheint auch hier – im Vergleich zu ähnlich gelagerten Verfahren – eher hoch; angesichts des umfangreichen Schriftenwechsels (Beschwerdeantwort und zwei Stellungnahmen) allerdings noch gerade in dem notwendig erscheinenden Rahmen. Demnach ist Rechtsanwalt D für das Beschwerdeverfahren mit Fr. 2'383.95 (zuzüglich 7,7 % Mehrwertsteuer, total Fr. 2'567.50) zu entschädigen.</w:t>
      </w:r>
    </w:p>
    <w:p>
      <w:r>
        <w:rPr>
          <w:b/>
        </w:rPr>
        <w:t>E. 7.5</w:t>
      </w:r>
    </w:p>
    <w:p>
      <w:r>
        <w:t>Die Parteien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8</w:t>
      </w:r>
    </w:p>
    <w:p>
      <w:r>
        <w:t>Beim vorliegenden Urteil handelt es sich um einen Zwischenentscheid,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