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VB.2018.00385 vom 27. Juni 2019</w:t>
      </w:r>
    </w:p>
    <w:p>
      <w:r>
        <w:t>ZH Verwaltungsgericht, 2019-06-27, DE</w:t>
      </w:r>
    </w:p>
    <w:p>
      <w:r>
        <w:rPr>
          <w:b/>
        </w:rPr>
        <w:t xml:space="preserve">Quelle: </w:t>
      </w:r>
      <w:r>
        <w:t>https://mcp.opencaselaw.ch/entscheid/zh_verwaltungsgericht__VB.2018.00385</w:t>
      </w:r>
    </w:p>
    <w:p>
      <w:r>
        <w:t>FR: ZH_VERWALTUNGSGERICHT VB.2018.00385 du 27 juin 2019</w:t>
      </w:r>
    </w:p>
    <w:p>
      <w:r>
        <w:t>IT: ZH_VERWALTUNGSGERICHT VB.2018.00385 del 27 giugno 2019</w:t>
      </w:r>
    </w:p>
    <w:p>
      <w:pPr>
        <w:pStyle w:val="Heading2"/>
      </w:pPr>
      <w:r>
        <w:t>Regeste</w:t>
      </w:r>
    </w:p>
    <w:p>
      <w:r>
        <w:t>Baubewilligung | Aufstockung und Anbau des Einkaufszentrums LOKwerk als Arealüberbauung: Arealüberbauungswürdigkeit (besonders gute Gestaltung); Gerichtsgebühr im Rekursverfahren. Im Gegenzug – als Ausgleich für die erheblichen Privilegierungen nach § 72 Abs. 1 PBG, welche sich vorliegend in BZO-Bestimmungen verwirklicht haben – stellt § 71 PBG für Arealüberbauungen besondere Anforderungen an Gestaltung und Einordnung, welche deutlich über das in § 238 Abs. 1 PBG geforderte Mass für die Regelbauweise hinausgehen (E. 3.2). Die Baubehörde hat die nur knapp gehaltene Begründung des Bauentscheids in ihrer Beschwerdeantwort (zulässigerweise) massgeblich erweitert. Folglich bezog sich die Obliegenheit der Rekurrierenden, sich mit den massgeblichen Ausführungen der Vorinstanz auseinanderzusetzen, auch auf die ergänzende Ausführungen. Vorliegend erscheint es als knapp zulässig, wenn das Baurekursgericht im Zusammenhang mit den gestaltungsmässigen Anforderungen eine grundsätzlich unzureichende Substanziierung angenommen hat (E. 3.5). Es besteht kein Anlass, um der Aufstockung eine besonders gute Gestaltung abzusprechen. Die Einführung neuer Stilmittel in der Überbauung schliesst eine gute Fassadengestaltung nicht aus. In Bezug auf die Umgebung werden die Anforderung der besonders guten Gestaltung ebenfalls erfüllt; in der Umgebung bestehen weitere grossvolumige Gebäulichkeiten. Die geforderte besondere Rücksichtnahme nach § 238 Abs. 2 PBG wird vom geplanten Gebäude mit Bezug auf angrenzende Schutzobjekte ebenfalls gewährleistet (E. 3.6). Die Rügen betreffend Akteneinsicht erwiesen sich als unbegründet (E. 4). Ebenso diejenigen bezüglich Einholung einer Umweltverträglichkeitsprüfung und der umweltrechtlichen Sanierungspflicht (E. 5 und 6). Im Licht der aktuellen bundesgerichtlichen Rechtsprechung erscheint die Gerichtsgebühr im Rekursverfahren indessen als klar übersetzt und ist durch das Verwaltungsgericht zu korrigieren (E. 8). Teilweise Gutheissung.</w:t>
      </w:r>
    </w:p>
    <w:p>
      <w:pPr>
        <w:pStyle w:val="Heading2"/>
      </w:pPr>
      <w:r>
        <w:t>Erwägungen</w:t>
      </w:r>
    </w:p>
    <w:p>
      <w:r>
        <w:rPr>
          <w:b/>
        </w:rPr>
        <w:t>E. 5.1</w:t>
      </w:r>
    </w:p>
    <w:p>
      <w:r>
        <w:t>Die Beschwerdeführenden halten weiter die Einholung einer Umweltverträglichkeitsprüfung (UVP) für erforderlich. Das Baurekursgericht hat die Voraussetzungen für die Einholung einer UVP zutreffend dargelegt. Es wies darauf hin, dass die Erstellung von Einkaufszentren und Fachmärkten mit einer Einkaufsfläche von mehr als 7'500 m 2 UVP-pflichtig sei. Dasselbe gelte bei gewissen Änderungen. Mit dem vorliegend streitigen Bau von Wohnungen sei keine UVP-pflichtige Änderung des Einkaufszentrums verbunden.</w:t>
      </w:r>
    </w:p>
    <w:p>
      <w:r>
        <w:rPr>
          <w:b/>
        </w:rPr>
        <w:t>E. 5.2</w:t>
      </w:r>
    </w:p>
    <w:p>
      <w:r>
        <w:t>Die Beschwerde vermag dem nichts Entscheidendes entgegenzuhalten: Angesichts der Verminderung der Parkplätze und der Nutzung weiterer bestehender Parkplätze durch die Bewohner der neuen Wohnungen anstatt durch Besucher des Einkaufszentrums wird sich der Autoverkehr für den Besuch des Einkaufszentrums naturgemäss verringern. Es liegt keine UVP-pflichtige Änderung mit Bezug auf das Einkaufszentrum vor. Für die Benutzung der Tiefgarage durch die Bewohner der neuen Wohnungen ist angesichts der Grösse der Tiefgarage ebenfalls keine UVP-Prüfung erforderlich.</w:t>
      </w:r>
    </w:p>
    <w:p>
      <w:r>
        <w:rPr>
          <w:b/>
        </w:rPr>
        <w:t>E. 6</w:t>
      </w:r>
    </w:p>
    <w:p>
      <w:r>
        <w:t>Nach Auffassung der Beschwerdeführenden haben es die Vorinstanzen zu Unrecht unterlassen, eine umweltrechtliche Sanierungspflicht zu prüfen. Mit dem vorliegenden Projekt werden die bisher bestehenden 203 Autoabstellplätze auf 196 Parkplätze reduziert.</w:t>
      </w:r>
    </w:p>
    <w:p>
      <w:r>
        <w:rPr>
          <w:b/>
        </w:rPr>
        <w:t>E. 6.1</w:t>
      </w:r>
    </w:p>
    <w:p>
      <w:r>
        <w:t>Die Baubehörde erachtete die verbleibenden 196 Parkplätze als im Bestand geschützt. Nach Auffassung des Baurekursgerichts löst der Umstand, dass die Parkplatzzahl trotz Abbau über dem zulässigen Pflichtbedarf von 160 Abstellplätzen liegt, keine Sanierungspflicht im Sinn der Umweltschutzgesetzgebung aus. Gemäss Art. 16 Abs. 1 des Umweltschutzgesetzes vom 7. Oktober 1983 (USG) müssen Anlagen, die den Vorschriften des Umweltschutzgesetzes oder den Umweltvorschriften anderer Bundesgesetze nicht genügen, saniert werden. Der Bundesrat erlässt Vorschriften über die Anlagen und den Umfang der zu treffenden Massnahmen (Abs. 2).</w:t>
      </w:r>
    </w:p>
    <w:p>
      <w:r>
        <w:rPr>
          <w:b/>
        </w:rPr>
        <w:t>E. 6.2</w:t>
      </w:r>
    </w:p>
    <w:p>
      <w:r>
        <w:t>Die Beschwerdeführenden vermögen mit ihrem Hinweis auf die Parkplatzverordnung der Stadt Winterthur und auf die Wegleitung des Kantons Zürich zur Ermittlung des Parkplatzbedarfs nicht aufzuzeigen, dass damit eine bundesrechtliche Regelung infrage steht. Demzufolge erweist sich die Rüge ebenfalls als unbehelflich.</w:t>
      </w:r>
    </w:p>
    <w:p>
      <w:r>
        <w:rPr>
          <w:b/>
        </w:rPr>
        <w:t>E. 7</w:t>
      </w:r>
    </w:p>
    <w:p>
      <w:r>
        <w:t>In materieller Hinsicht erweist sich die Beschwerde damit zusammengefasst als unbegründet. Sie ist insofern abzuweisen.</w:t>
      </w:r>
    </w:p>
    <w:p>
      <w:r>
        <w:rPr>
          <w:b/>
        </w:rPr>
        <w:t>E. 8</w:t>
      </w:r>
    </w:p>
    <w:p>
      <w:r>
        <w:t>Die Beschwerdeführenden beantragen schliesslich, die Gerichtsgebühr des Rekursverfahrens auf maximal Fr. 12'000.- zu reduzieren.</w:t>
      </w:r>
    </w:p>
    <w:p>
      <w:r>
        <w:rPr>
          <w:b/>
        </w:rPr>
        <w:t>E. 8.1</w:t>
      </w:r>
    </w:p>
    <w:p>
      <w:r>
        <w:t>Gemäss der Gebührenverordnung des Verwaltungsgerichts vom 3. Juli 2018 (GebV VGr; LS 175.252) beträgt die Gerichtsgebühr bei Verfahren ohne bestimmbaren Streitwert in der Regel Fr. 500.- bis Fr. 50'000.-. Dieser Rahmen ist auch für das Rekursverfahren massgebend (§ 1 GebV VGr). Gemäss § 2 GebV VGr bemisst sich die Gebühr innerhalb dieses Rahmens nach dem Zeitaufwand des Gerichts, der Schwierigkeit des Falles und dem tatsächlichen Streitinteresse.</w:t>
      </w:r>
    </w:p>
    <w:p>
      <w:r>
        <w:rPr>
          <w:b/>
        </w:rPr>
        <w:t>E. 8.2</w:t>
      </w:r>
    </w:p>
    <w:p>
      <w:r>
        <w:t>Die mutmasslichen Baukosten des Projekts belaufen sich gemäss Baugesuch auf Fr. 27 Mio. Das Streitinteresse erweist sich damit als gross. Anderseits war der Zeitaufwand – auch unter Berücksichtigung des durchgeführten Augenscheins – nur durchschnittlich, hat das Baurekursgericht den Rekurs doch in eher knapper Weise behandelt und die Rügen betreffend § 71 PBG zu einem erheblichen Teil als unsubstanziiert qualifiziert. Die Schwierigkeit des Falles ist demgegenüber als etwas überdurchschnittlich zu qualifizieren. Angesichts dieser Parameter erweist sich die Festsetzung der Gebühr auf Fr. 20'000.- im Licht der aktuellen bundesgerichtlichen Rechtsprechung (BGE 145 I 52 E. 5) als klar übersetzt. Somit ist die durch das Baurekursgericht festgesetzte Gebühr rechtswidrig und ist sie in Anwendung von § 63 VRG durch das Verwaltungsgericht zu korrigieren. Als angemessen erscheint ein Betrag von Fr. 12'000.-.</w:t>
      </w:r>
    </w:p>
    <w:p>
      <w:r>
        <w:rPr>
          <w:b/>
        </w:rPr>
        <w:t>E. 8.3</w:t>
      </w:r>
    </w:p>
    <w:p>
      <w:r>
        <w:t>Zu beachten ist bezüglich der vorinstanzlichen Kosten, dass die Höhe der Gerichtsgebühr nur durch die Beschwerdeführenden angefochten wurde. Bezüglich der weiteren Rekurrierenden ist die Kostenfestsetzung und -auflage demgegenüber unangefochten in Rechtskraft erwachsen. Die Gerichtsgebühr von Fr. 20'000.- ist den Parteien im Rekursverfahren zu je 1/11 auferlegt worden, mithin zu je Fr. 1'818.20. Bei einer angemessenen Gerichtsgebühr von Fr. 12'000.- verringert sich der Anteil (1/11) auf Fr. 1'090.90, mithin um Fr. 727.30. Da die Gerichtsgebühr wie gesehen nur hinsichtlich der Beschwerdeführenden zu reduzieren ist, ist die Gebühr – um Fr. 727.30 verringert – auf Fr. 19'272.70 festzusetzen. Davon ist den Beschwerdeführenden Fr. 1'090.90 aufzuerlegen; hinzu kommt 1/11 der Zustellkosten von Fr. 210.-, also Fr. 19.10; daraus resultiert ein Betrag von Fr. 1'110.-. Die übrigen zehn Rekurrierenden haben unverändert je 1/11 der ursprünglichen Gerichtsgebühr von Fr. 20'000.- und der Zustellkosten von Fr. 210.- zu bezahlen.</w:t>
      </w:r>
    </w:p>
    <w:p>
      <w:r>
        <w:rPr>
          <w:b/>
        </w:rPr>
        <w:t>E. 8.4</w:t>
      </w:r>
    </w:p>
    <w:p>
      <w:r>
        <w:t>Dies führt bezüglich der vorinstanzlichen Kosten zu einer teilweisen Gutheissung der Beschwerde.</w:t>
      </w:r>
    </w:p>
    <w:p>
      <w:r>
        <w:rPr>
          <w:b/>
        </w:rPr>
        <w:t>E. 9</w:t>
      </w:r>
    </w:p>
    <w:p>
      <w:r>
        <w:t>Bei diesem Prozessausgang, bei dem die Beschwerde lediglich in einem Nebenpunkt teilweise Erfolg hat, rechtfertigt es sich, die Kosten des Beschwerdeverfahrens vollumfänglich den Beschwerdeführenden aufzuerlegen (§ 13 Abs. 2 Satz 1 in Verbindung mit § 65a Abs. 2 VRG). Die private Beschwerdegegnerin hat überdies ausgangsgemäss Anspruch auf Bezahlung einer Parteientschädigung durch die Beschwerdeführenden (§ 17 Abs. 2 VRG). Als angemessen erscheint ein Betrag von insgesamt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