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VB.2018.00230 vom 11. Juni 2015</w:t>
      </w:r>
    </w:p>
    <w:p>
      <w:r>
        <w:t>ZH Verwaltungsgericht, 2015-06-11, DE</w:t>
      </w:r>
    </w:p>
    <w:p>
      <w:r>
        <w:rPr>
          <w:b/>
        </w:rPr>
        <w:t xml:space="preserve">Quelle: </w:t>
      </w:r>
      <w:r>
        <w:t>https://mcp.opencaselaw.ch/entscheid/zh_verwaltungsgericht__VB.2018.00230</w:t>
      </w:r>
    </w:p>
    <w:p>
      <w:r>
        <w:t>FR: ZH_VERWALTUNGSGERICHT VB.2018.00230 du 11 juin 2015</w:t>
      </w:r>
    </w:p>
    <w:p>
      <w:r>
        <w:t>IT: ZH_VERWALTUNGSGERICHT VB.2018.00230 del 11 giugno 2015</w:t>
      </w:r>
    </w:p>
    <w:p>
      <w:pPr>
        <w:pStyle w:val="Heading2"/>
      </w:pPr>
      <w:r>
        <w:t>Regeste</w:t>
      </w:r>
    </w:p>
    <w:p>
      <w:r>
        <w:t>Sozialhilfe | Sozialhilfe: Anrechnung eines hypothetischen Einkommens (teilweise Leistungseinstellung) Die Leistungseinstellung als Sanktion setzt zunächst voraus, dass die betroffene Person mit einem Auflagenbeschluss aufgefordert wurde, eine zumutbare Arbeit anzunehmen bzw. ein ihr zustehendes Ersatzeinkommen geltend zu machen. Auflagen und Weisungen, die auf eine Verbesserung der Lage des Hilfeempfängers abzielen, müssen als anfechtbare Anordnungen in Verfügungsform und somit schriftlich und unter Androhung der Leistungskürzung erlassen werden (E. 3.1). Die Auflage, am Taglohnprogramm teilzunehmen, erfolgte lediglich mündlich. Dies genügt den formellen Voraussetzungen für den Erlass einer Auflage nicht. Die weiteren Ermahnungen, am Taglohnprogramm teilzunehmen, erfolgten zwar schriftlich, jedoch waren die Schreiben weder als Verfügung bezeichnet noch enthielten sie eine Rechtsmittelbelehrung. Von der nicht rechtskundigen und nicht anwaltlich vertretenen Beschwerdeführerin konnte nicht erwartet werden, dass sie den Verfügungscharakter dieser Schreiben erkenne. Damit wurde die Auflage formell nicht korrekt angeordnet (E. 3.2). Die teilweise Leistungseinstellung erweist sich insofern als nicht rechtmässig, müssen doch die Voraussetzungen von § 24a Abs. 1 SHG für eine (teilweise) Leistungseinstellung kumulativ erfüllt sein (E. 3.3). Die Vorinstanz überschritt die Behandlungsfrist von 60 Tagen geringfügig, weshalb eine leichte Verletzung des Rechtsverzögerungsverbots vorliegt. Es rechtfertigt sich vorliegend jedoch nicht, dies im Entscheiddispositiv festzustellen und/oder bei den Kosten- und Entschädigungsfolgen zu berücksichtigen (E. 4.2). Gutheissung der Beschwerde.</w:t>
      </w:r>
    </w:p>
    <w:p>
      <w:pPr>
        <w:pStyle w:val="Heading2"/>
      </w:pPr>
      <w:r>
        <w:t>Erwägungen</w:t>
      </w:r>
    </w:p>
    <w:p>
      <w:r>
        <w:rPr>
          <w:b/>
        </w:rPr>
        <w:t>E. 3</w:t>
      </w:r>
    </w:p>
    <w:p>
      <w:r>
        <w:t>Die Beschwerdeführerin wird mit monatlich Fr. 1'576.- Sozialhilfe unterstützt. Die Anrechnung eines hypothetischen Einkommens von Fr. 1'200.- pro Monat in ihrem sozialhilferechtlichen Budget kommt einer teilweisen Einstellung der Sozialhilfe gleich. Da die Beschwerdeführerin zunächst einem Beschäftigungsprogramm und anschliessend einem Taglohnprogramm im zweiten Arbeitsmarkt zugewiesen wurde, ist von ihrer grundsätzlichen Bedürftigkeit auszugehen, weshalb für die teilweise Einstellung der Sozialhilfe die Voraussetzungen von § 24a Abs. 1 SHG erfüllt sein müssen (vgl. vorn E. 2.5).</w:t>
      </w:r>
    </w:p>
    <w:p>
      <w:r>
        <w:rPr>
          <w:b/>
        </w:rPr>
        <w:t>E. 3.1</w:t>
      </w:r>
    </w:p>
    <w:p>
      <w:r>
        <w:t>Die Leistungseinstellung als Sanktion stellt einen einschneidenden Eingriff in die Rechtsposition der betroffenen Person dar. Sie setzt zunächst voraus, dass die betroffene Person mit einem Auflagenbeschluss aufgefordert wurde, eine zumutbare Arbeit aufzunehmen bzw. ein ihr zustehendes Ersatzeinkommen geltend zu machen (vgl. § 24a Abs. 1 lit. a SHG; SKOS-Richtlinien, Kap. H.13–1; Kantonales Sozialamt, Sozialhilfe-Behördenhandbuch, Kap. 14.3.01 Ziff. 3, 26. September 2017, zu finden unter www.sozialhilfe.zh.ch [Sozialhilfe-Behördenhandbuch]). Nach gefestigter Praxis des Verwaltungsgerichts müssen Auflagen und Weisungen im Sinn von § 21 SHG, die auf eine Verbesserung der Lage des Hilfeempfängers abzielen, als anfechtbare Anordnungen in Verfügungsform und somit schriftlich mit Androhung der Kürzung der Leistungen in Umfang und Dauer erlassen werden. Dies liegt darin begründet, dass Verhaltensanweisungen die durch Art. 10 Abs. 2 der Bundesverfassung vom 18. April 1999 [BV] garantierte persönliche Freiheit der unterstützten Personen tangieren. Diese haben daher ein schutzwürdiges Interesse, die Rechtmässigkeit einer derartigen Weisung schon im Anschluss an deren Erlass auf dem Rechtsmittelweg überprüfen zu lassen, nicht erst mittels Rekurs gegen die Kürzungs- und Einstellungsverfügung, die in der Folge wegen Missachtung der Auflage ergeht (VGr, 12. Dezember 2017, VB.2017.00533, E. 5.1 mit weiteren Hinweisen; VGr, 18. August 2011, VB.2011.00331, E. 2.4; Sozialhilfe-Behörden­handbuch, Kap. 14.1.01 Ziff. 2.1, 25. September 2017; vgl. SKOS-Richtlinien, Kap. H.13–1; Urs Vogel, Rechtsbeziehungen – Rechte und Pflichten der unterstützten Person und der Organe der Sozialhilfe, in: Christoph Häfeli [Hrsg.], Das Schweizerische Sozialhilferecht, Luzern 2008, S. 184).</w:t>
      </w:r>
    </w:p>
    <w:p>
      <w:r>
        <w:rPr>
          <w:b/>
        </w:rPr>
        <w:t>E. 3.2</w:t>
      </w:r>
    </w:p>
    <w:p>
      <w:r>
        <w:t>Mit Beschluss vom 6. Juni 2016 wurde die Beschwerdeführerin in Verfügungsform und unter Angabe einer Rechtsmittelbelehrung angewiesen, am Beschäftigungsprogramm E teilzunehmen. Die Auflage, am Taglohnprogramm D teilzunehmen, war im Beschluss vom 6. Juni 2016 nicht erwähnt und erfolgte zunächst nur mündlich anlässlich eines persönlichen Gesprächs am 10. Oktober 2016. Da es sich dabei um eine neue, andere Auflage als jene zur Teilnahme am Beschäftigungsprogramm E handelt und die Auflage auf eine Verbesserung der Lage der Beschwerdeführerin abzielte, hätte diese wiederum in Verfügungsform erlassen werden müssen. Die mündliche Aufforderung zur Teilnahme am Taglohnprogramm D genügte den formellen Voraussetzungen für den Erlass einer Auflage jedenfalls nicht, auch wenn sich die Beschwerdeführerin vorerst damit einverstanden erklärte. Spätestens aus ihrer E-Mail vom 19. Oktober 2016 ging aber hervor, dass sie es nicht mehr war. An der Nichteinhaltung der formellen Voraussetzungen ändert sodann auch nichts, dass die Beschwerdeführerin mündlich darauf hingewiesen wurde, dass es sich bei der Aufforderung zur Teilnahme am Taglohnprogramm um eine Auflage handle und sie verpflichtet sei, am Taglohn teilzunehmen, und der Beschwerdeführerin dazu das rechtliche Gehör gewährt wurde. Schliesslich hätten im Rahmen eines Rechtsmittelverfahrens gegen eine korrekt angeordnete Auflage die Argumente der Beschwerdeführerin gegen eine Teilnahme am Taglohnprogramm D geprüft werden können (keine Zusammenarbeit mit Männern, gemäss Beschwerde keine regelmässigen Arbeitseinsätze, höhere Reise- und Verpflegungskosten). Danach hätte Gewissheit darüber bestanden, ob die angeordnete Auflage bestehen bleibe oder nicht. Fraglich ist, ob mit dem als "Ermahnung – Teilnahme Taglohn D" bezeichneten Schreiben vom 27. Oktober 2016 die Auflage in formell korrekter Form wiederholt wurde. Mit dem besagten Schreiben gab die Beschwerdegegnerin der Beschwerdeführerin erneut die Möglichkeit, der Aufforderung zur Aufnahme der Arbeitstätigkeit beim Taglohnprogramm D nachzukommen. Gleichzeitig wurde ihr eine Kürzung von 15 % des Grundbedarfs für den Fall der Verweigerung einer Teilnahme am Taglohn angedroht. Das Schreiben war indes weder als Verfügung bezeichnet, noch enthielt es eine Rechtsmittelbelehrung. Die äussere Form des Verwaltungshandelns ist allerdings nicht entscheidend dafür, ob eine Anordnung als Verfügung zu qualifizieren ist. Vielmehr ist einzig darauf abzustellen, ob ein behördlicher Akt materiell die Kriterien einer Verfügung erfüllt. Auch die formell mangelhafte Verfügung ist – unter Vorbehalt der Nichtigkeit – eine Verfügung. Das Verhalten der Adressatinnen und Adressaten einer Verfügung, die nicht als solche bezeichnet wird, ist aber nach Treu und Glauben zu beurteilen. Wenn etwa eine Person ein behördliches Schreiben empfängt, das erkennbar Verfügungsqualität haben könnte, ist sie gehalten, sich innerhalb angemessener Frist nach der Bedeutung des Schreibens zu erkundigen oder eine anfechtbare Verfügung anzufordern, wenn sie sich den Rechtsweg offenhalten will (Martin Bertschi/Kaspar Plüss, Kommentar VRG, Vorbemerkungen zu §§ 4–31 N. 24; vgl. auch Plüss, § 10 N. 51 f.). Da das Schreiben vom 27. Oktober 2016 aber weder als Verfügung bezeichnet war noch eine Rechtmittelbelehrung enthielt, konnte von der nicht rechtskundigen und nicht anwaltlich vertretenen Beschwerdeführerin nicht erwartet werden, dass sie den Verfügungscharakter des Schreibens erkenne. Dasselbe gilt im Übrigen auch für die weiteren Mahnschreiben vom 5. Dezember 2016, bezeichnet als "Verwarnung – Teilnahme Taglohn D", und 24. Januar 2017, bezeichnet als "Letzte Zuweisung – Teilnahme Taglohn D". Keines dieser Schreiben erfolgte in Verfügungsform oder enthielt eine Rechtsmittelbelehrung. Vielmehr hielt die Beschwerdegegnerin mit diesen Schreiben lediglich an der mündlichen und damit nicht rechtmässig erlassenen Auflage fest. Unter diesen Umständen wurde die Auflage formell nicht korrekt angeordnet.</w:t>
      </w:r>
    </w:p>
    <w:p>
      <w:r>
        <w:rPr>
          <w:b/>
        </w:rPr>
        <w:t>E. 3.3</w:t>
      </w:r>
    </w:p>
    <w:p>
      <w:r>
        <w:t>Nachdem die Auflage zur Teilnahme am Taglohnprogramm D nicht in Verfügungsform erlassen wurde, fehlt es bereits an der Voraussetzung gemäss § 24a Abs. 1 lit. a SHG (vgl. vorn E. 3.1). Insofern erweist sich die teilweise Leistungseinstellung im vorliegenden Fall als nicht rechtmässig. Daran ändert nichts, dass der Beschwerdeführerin die Sozialhilfeleistungen rechtskräftig gekürzt wurden und ihr mehrfach die Möglichkeit gegeben wurde, die Auflage doch noch zu erfüllen, müssen doch die Voraussetzungen von § 24a Abs. 1 SHG für eine (teilweise) Leistungseinstellung kumulativ erfüllt sein. Entsprechend ist die Beschwerde gutzuheissen und sind die Verfügung vom 15. März 2017 und der Beschluss vom 24. April 2017 der Beschwerdegegnerin sowie der vor­instanzliche Beschluss vom 22. März 2018 aufzuheben.</w:t>
      </w:r>
    </w:p>
    <w:p>
      <w:r>
        <w:rPr>
          <w:b/>
        </w:rPr>
        <w:t>E. 4</w:t>
      </w:r>
    </w:p>
    <w:p>
      <w:r>
        <w:t>Indem die Beschwerdeführerin geltend macht, es sei ein Jahr vergangen, bis der vor­instanzliche Beschluss ergangen sei, rügt sie zumindest sinngemäss eine Rechtsverzögerung durch die Vorinstanz.</w:t>
      </w:r>
    </w:p>
    <w:p>
      <w:r>
        <w:rPr>
          <w:b/>
        </w:rPr>
        <w:t>E. 4.1</w:t>
      </w:r>
    </w:p>
    <w:p>
      <w:r>
        <w:t>Die Parteien haben im Verfahren vor Gerichts- und Verwaltungsinstanzen Anspruch auf Beurteilung innert angemessener Frist (Art. 29 Abs. 1 BV).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BGE 130 I 312 E. 5.2; VGr, 6. März 2014, VB.2014.00022, E. 3.1; Gerold Steinmann in: Bernhard Ehrenzeller et al. [Hrsg.], Die schweizerische Bundesverfassung, Kommentar, 3. A., Zürich etc. 2014, Art. 29 N. 22 ff. mit Hinweisen; Jörg Paul Müller/Markus Schefer, Grundrechte in der Schweiz, 4. A., Bern 2008, S. 839 f.).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 Ein Rechtsschutzinteresse an der Feststellung einer Rechtsverweigerung bzw. Rechtsverzögerung ist auch dann gegeben, wenn die Behörde, der Säumigkeit vorgeworfen wird, mittlerweile tätig wurde. Diesfalls besteht das Rechtsschutzinteresse in der damit verbundenen Genugtuung für die Betroffenen (vgl. BGr, 25. Mai 2012, 1C_439/2011, E. 2.1; BGE 129 V 411 = Pra 94 [2005] Nr. 13 E. 1.3; Jürg Bosshart/Martin Bertschi, Kommentar VRG, § 19 N. 52).</w:t>
      </w:r>
    </w:p>
    <w:p>
      <w:r>
        <w:rPr>
          <w:b/>
        </w:rPr>
        <w:t>E. 4.2</w:t>
      </w:r>
    </w:p>
    <w:p>
      <w:r>
        <w:t>Den Akten kann nicht entnommen werden, dass die Vorinstanz den Parteien den Abschluss der Sachverhaltsermittlung angezeigt oder ihnen mitgeteilt hätte, wann mit dem Rekursentscheid zu rechnen sei. Die Vorinstanz forderte die Beschwerdegegnerin am 11. Dezember 2017 zur Einreichung weiterer Akten auf. Die Beschwerdegegnerin kam dieser Aufforderung am 12. Dezember 2017 nach. Aus den Akten ist nicht ersichtlich, dass die Vorinstanz danach noch weitere prozessuale Handlungen vorgenommen hätte. Die Sachverhaltsermittlung war damit am 12. Dezember 2017 abgeschlossen. Bis zum Entscheid der Vorinstanz am 22. März 2018 vergingen etwas mehr als drei Monate. Damit wurde die Behandlungsfrist von 60 Tagen geringfügig überschritten. Zu berücksichtigen ist dabei, dass der Fall nicht ausserordentlich schwierig und die Anzahl der Akten überschaubar war. Auch wenn das Überschreiten der 60-tägigen Behandlungsfrist von § 27c Abs. 1 VRG als solches wie erwähnt nicht zwingend auf eine Rechtsverzögerung schliessen lässt, wurde diese Frist vorliegend überschritten, ohne dass die Vorinstanz der Beschwerdeführerin die Nichteinhaltung oder Gründe für die Verzögerung angezeigt hätte. Es liegt somit eine leichte Verletzung des Rechtsverzögerungsverbots vor. Eine solche kann zwar im Dispositiv des Entscheids festgestellt werden und/oder bei den Kosten- und Entschädigungsfolgen berücksichtigt werden (vgl. BGE 129 V 411 = Pra 94 [2005] Nr. 13 E. 1.3). Darauf ist hier – ebenso wie auf eine materielle Änderung des angefochtenen Beschlusses – jedoch mangels eines ausdrücklichen Beschwerdeantrags und angesichts des nicht schweren Verstosses gegen das Beschleunigungsgebot zu verzichten (vgl. Griffel, § 27c N. 19 f.). Dem Genugtuungsaspekt wird durch die vorliegende Feststellung in den Erwägungen gebührend Rechnung getragen (vgl. VGr, 11. Juni 2015, VB.2015.00172, E. 2.2 mit weiteren Hinweisen).</w:t>
      </w:r>
    </w:p>
    <w:p>
      <w:r>
        <w:rPr>
          <w:b/>
        </w:rPr>
        <w:t>E. 5</w:t>
      </w:r>
    </w:p>
    <w:p>
      <w:r>
        <w:t>Bei diesem Ausgang des Verfahrens sind die Gerichtskosten der Beschwerdegegnerin aufzuerlegen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