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VB.2018.00073 vom 28. Mai 2018</w:t>
      </w:r>
    </w:p>
    <w:p>
      <w:r>
        <w:t>ZH Verwaltungsgericht, 2018-05-28, DE</w:t>
      </w:r>
    </w:p>
    <w:p>
      <w:r>
        <w:rPr>
          <w:b/>
        </w:rPr>
        <w:t xml:space="preserve">Quelle: </w:t>
      </w:r>
      <w:r>
        <w:t>https://mcp.opencaselaw.ch/entscheid/zh_verwaltungsgericht__VB.2018.00073</w:t>
      </w:r>
    </w:p>
    <w:p>
      <w:r>
        <w:t>FR: ZH_VERWALTUNGSGERICHT VB.2018.00073 du 28 mai 2018</w:t>
      </w:r>
    </w:p>
    <w:p>
      <w:r>
        <w:t>IT: ZH_VERWALTUNGSGERICHT VB.2018.00073 del 28 maggio 2018</w:t>
      </w:r>
    </w:p>
    <w:p>
      <w:pPr>
        <w:pStyle w:val="Heading2"/>
      </w:pPr>
      <w:r>
        <w:t>Regeste</w:t>
      </w:r>
    </w:p>
    <w:p>
      <w:r>
        <w:t>Entschädigung für die Tätigkeit als Vorstandsmitglied des Konvents | Am 22.12 wurde die Sendung mit dem vorinstanzlichen Entscheid dem Rechtsvertreter der Beschwerdeführerin in dessen Postfach zur Abholung gemeldet, weshalb jener als am 29.12. zugestellt gilt; die Beschwerdefrist endete damit am 1.2., womit die am 2.2. eingereichte Beschwerde verspätet ist (E. 1.4). Dass die Sendung wohl erst zur Abholung gemeldet wurde, nachdem das Postfach geleert worden war, ändert nichts daran, dass die Abholfrist an diesem Tag zu laufen begann (E. 1.5). Dass der Rechtsvertreter das Postfach vom 23.12. bis zum 2.1. nicht leeren liess und zudem im Wissen um diesen Umstand nicht vorsichtshalber die Sendungsverfolgung konsultierte, stellt eine jedenfalls nicht mehr leicht wiegende Fahrlässigkeit dar (E. 1.6). Die Beschwerde hätte auch in der Sache keinen Erfolg, da nicht dargetan wird, inwiefern Beschwerdegegner und Vorinstanz die Pauschalentschädigung in rechtsverletzender Weise festgelegt haben sollen (E. 2). Nichteintreten.</w:t>
      </w:r>
    </w:p>
    <w:p>
      <w:pPr>
        <w:pStyle w:val="Heading2"/>
      </w:pPr>
      <w:r>
        <w:t>Erwägungen</w:t>
      </w:r>
    </w:p>
    <w:p>
      <w:r>
        <w:rPr>
          <w:b/>
        </w:rPr>
        <w:t>E. 4</w:t>
      </w:r>
    </w:p>
    <w:p>
      <w:r>
        <w:t>Der Streitwert beträgt weniger als Fr. 15'000.- (vorn 1.2), weshalb die Beschwerde in öffentlich-rechtlichen Angelegenheiten gemäss Art. 82 ff. des Bundesgerichtsgesetzes vom 17. Juni 2005 (BGG, SR 173.110) nur zulässig ist, sofern sich eine Rechtsfrage grundsätzlicher Bedeutung stellt (Art. 85 Abs. 1 lit. b und Abs. 2 in Verbindung mit Art. 51 Abs. 1 lit. a BGG); andernfalls steht die subsidiäre Verfassungsbeschwerde gemäss Art. 113 ff. BGG offen. Werden beide Beschwerden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