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VB.2018.00011 vom 5. September 2018</w:t>
      </w:r>
    </w:p>
    <w:p>
      <w:r>
        <w:t>ZH Verwaltungsgericht, 2018-09-05, DE</w:t>
      </w:r>
    </w:p>
    <w:p>
      <w:r>
        <w:rPr>
          <w:b/>
        </w:rPr>
        <w:t xml:space="preserve">Quelle: </w:t>
      </w:r>
      <w:r>
        <w:t>https://mcp.opencaselaw.ch/entscheid/zh_verwaltungsgericht__VB.2018.00011</w:t>
      </w:r>
    </w:p>
    <w:p>
      <w:r>
        <w:t>FR: ZH_VERWALTUNGSGERICHT VB.2018.00011 du 5 septembre 2018</w:t>
      </w:r>
    </w:p>
    <w:p>
      <w:r>
        <w:t>IT: ZH_VERWALTUNGSGERICHT VB.2018.00011 del 5 settembre 2018</w:t>
      </w:r>
    </w:p>
    <w:p>
      <w:pPr>
        <w:pStyle w:val="Heading2"/>
      </w:pPr>
      <w:r>
        <w:t>Regeste</w:t>
      </w:r>
    </w:p>
    <w:p>
      <w:r>
        <w:t>Niederlassungsbewilligung | [Nichterteilung der Niederlassungsbewilligung, aber Verlängerung der Aufenthaltsbewilligung für einen 1975 geborenen und seit 2006 in der Schweiz lebenden Angehörigen eines aussereuropäischen Staats, der sich in Missachtung der Wegweisung bis 2011 illegal im Land aufgehalten und im selben Jahr eine Schweizerin geheiratet hat.] Die Verlängerung der Aufenthaltsbewilligung unter gleichzeitiger Verweigerung der Niederlassungsbewilligung stellt, auch wenn die übrigen Voraussetzungen für die Erteilung einer solchen erfüllt wären, per se kein widersprüchliches Verhalten der Behörden dar. Sowohl die Erteilung der Niederlassungsbewilligung als auch die Erteilung oder Verlängerung der Aufenthaltsbewilligung sind - mit Ausnahme des zeitlichen Erfordernisses - von denselben Voraussetzungen abhängig. Beide stehen unter dem Vorbehalt des Rechtsmissbrauchsverbots und des Vorliegens von Widerrufsgründen (E. 2.2). Der Beschwerdeführer hat in zwar fortgesetzter und grober Weise gegen fremdenpolizeiliche Vorschriften verstossen, ist jedoch daneben und nach seiner Heirat nicht (mehr) straffällig geworden. Mit dem illegalen vorehelichen Aufenthalt allein ist kein schwerwiegender Verstoss gegen die öffentliche Sicherheit und Ordnung (Art. 63 Abs. 1 lit. b AuG) gegeben (E. 2.3). Teilweise Gutheissung und Rückweisung zur erneuten Entscheidung (E. 3 und E. 4).</w:t>
      </w:r>
    </w:p>
    <w:p>
      <w:pPr>
        <w:pStyle w:val="Heading2"/>
      </w:pPr>
      <w:r>
        <w:t>Erwägungen</w:t>
      </w:r>
    </w:p>
    <w:p>
      <w:r>
        <w:rPr>
          <w:b/>
        </w:rPr>
        <w:t>E. 4</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in: Alain Griffel [Hrsg.], Kommentar zum Verwaltungsrechtspflegegesetz des Kantons Zürich [VRG], 3. A., Zürich etc. 2014, § 64 N. 5). Demnach hat der Beschwerdeführer als obsiegend zu gelten und sind die Kosten des Beschwerdeverfahrens dem Beschwerdegegner aufzuerlegen (§ 65a Abs. 2 in Verbindung mit § 13 Abs. 2 Satz 1 VRG; VGr, 3. Juli 2014, VB.2014.00186, E. 4.2). Dem Beschwerdeführer ist zudem zu Lasten des Beschwerdegegners eine angemessene Parteientschädigung für das Beschwerde- und das Rekursverfahren zuzusprechen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