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VB.2018.00010 vom 25. Juli 2018</w:t>
      </w:r>
    </w:p>
    <w:p>
      <w:r>
        <w:t>ZH Verwaltungsgericht, 2018-07-25, DE</w:t>
      </w:r>
    </w:p>
    <w:p>
      <w:r>
        <w:rPr>
          <w:b/>
        </w:rPr>
        <w:t xml:space="preserve">Quelle: </w:t>
      </w:r>
      <w:r>
        <w:t>https://mcp.opencaselaw.ch/entscheid/zh_verwaltungsgericht__VB.2018.00010</w:t>
      </w:r>
    </w:p>
    <w:p>
      <w:r>
        <w:t>FR: ZH_VERWALTUNGSGERICHT VB.2018.00010 du 25 juillet 2018</w:t>
      </w:r>
    </w:p>
    <w:p>
      <w:r>
        <w:t>IT: ZH_VERWALTUNGSGERICHT VB.2018.00010 del 25 luglio 2018</w:t>
      </w:r>
    </w:p>
    <w:p>
      <w:pPr>
        <w:pStyle w:val="Heading2"/>
      </w:pPr>
      <w:r>
        <w:t>Regeste</w:t>
      </w:r>
    </w:p>
    <w:p>
      <w:r>
        <w:t>Zwischenzeugnis | Angestellte haben auch in gekündigter Stellung Anspruch auf ein Zwischenzeugnis. Das Interesse an der Berichtigung eines solchen Zwischenzeugnisses entfällt jedoch mit dem Ende des Anstellungsverhältnisses, wenn Zwischen- und Schlusszeugnis sich nur dadurch unterscheiden, dass Ersteres über ein bestehendes und Letzteres über ein beendetes Anstellungsverhältnis Auskunft gibt (E. 2.3). Abweisung.</w:t>
      </w:r>
    </w:p>
    <w:p>
      <w:pPr>
        <w:pStyle w:val="Heading2"/>
      </w:pPr>
      <w:r>
        <w:t>Erwägungen</w:t>
      </w:r>
    </w:p>
    <w:p>
      <w:r>
        <w:rPr>
          <w:b/>
        </w:rPr>
        <w:t>E. 4</w:t>
      </w:r>
    </w:p>
    <w:p>
      <w:r>
        <w:t>Da der Streitwert weniger als Fr. 30'000.- beträgt, sind die Gerichtskosten auf die Gerichtskasse zu nehmen (§ 65a Abs. 3 VRG). Als unterliegende Partei hat der Beschwerdeführer keinen Entschädigungsanspruch (§ 17 Abs. 2 VRG). Die Beschwerdegegnerin ersucht ebenfalls um eine Parteientschädigung. In der Regel haben öffentlichrechtliche Anstalten wie die Beschwerdegegnerin keinen Anspruch auf eine Parteientschädigung, weil die Erhebung und Beantwortung von Rechtsmitteln zu den angestammten amtlichen Aufgaben gehört (vgl. betreffend die Beschwerdegegnerin VGr, 25. Juli 2018, VB.2017.00711, E. 6.2). Hier liegen keine besonderen Umstände vor, welche die Zusprechung einer Parteientschädigung ausnahmsweise rechtfertigten.</w:t>
      </w:r>
    </w:p>
    <w:p>
      <w:r>
        <w:rPr>
          <w:b/>
        </w:rPr>
        <w:t>E. 5</w:t>
      </w:r>
    </w:p>
    <w:p>
      <w:r>
        <w:t>Soweit das Bundesgericht hier ebenfalls von einem Streitwert von mindestens Fr. 15'000.- ausgeht oder sich eine Rechtsfrage von grundsätzlicher Bedeutung stellt, kann Beschwerde in öffentlichrechtlichen Angelegenheiten nach Art. 82 ff. des Bundesgerichtsgesetzes vom 17. Juni 2005 (BGG, SR 173.110) erhoben werden (Art. 85 Abs. 1 lit. b und Abs. 2 BGG).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