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VB.2017.00871 vom 11. April 2018</w:t>
      </w:r>
    </w:p>
    <w:p>
      <w:r>
        <w:t>ZH Verwaltungsgericht, 2018-04-11, DE</w:t>
      </w:r>
    </w:p>
    <w:p>
      <w:r>
        <w:rPr>
          <w:b/>
        </w:rPr>
        <w:t xml:space="preserve">Quelle: </w:t>
      </w:r>
      <w:r>
        <w:t>https://mcp.opencaselaw.ch/entscheid/zh_verwaltungsgericht__VB.2017.00871</w:t>
      </w:r>
    </w:p>
    <w:p>
      <w:r>
        <w:t>FR: ZH_VERWALTUNGSGERICHT VB.2017.00871 du 11 avril 2018</w:t>
      </w:r>
    </w:p>
    <w:p>
      <w:r>
        <w:t>IT: ZH_VERWALTUNGSGERICHT VB.2017.00871 del 11 aprile 2018</w:t>
      </w:r>
    </w:p>
    <w:p>
      <w:pPr>
        <w:pStyle w:val="Heading2"/>
      </w:pPr>
      <w:r>
        <w:t>Regeste</w:t>
      </w:r>
    </w:p>
    <w:p>
      <w:r>
        <w:t>aufsichtsrechtliche Aufhebung einer Kompetenzordnung | Die Regelung, wonach Entscheide betreffend Sozialhilfe an ein Mitglied des Gemeinderats delegiert werden, soweit der Antrag "innerhalb der explizit in den SKOS-Richtlinien aufgeführten Werten" sei, ist genügend bestimmt, weshalb das aufsichtsrechtliche Einschreiten des Beschwerdegegners nicht geboten war. Gutheissung.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Ausgangsgemäss sind die Gerichtskosten dem Beschwerdegegner aufzuerlegen (§ 65a Abs. 2 in Verbindung mit § 13 Abs. 2 Satz 1 VRG).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