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ZH_VERWALTUNGSGERICHT VB.2017.00843 vom 20. April 2018</w:t>
      </w:r>
    </w:p>
    <w:p>
      <w:r>
        <w:t>ZH Verwaltungsgericht, 2018-04-20, DE</w:t>
      </w:r>
    </w:p>
    <w:p>
      <w:r>
        <w:rPr>
          <w:b/>
        </w:rPr>
        <w:t xml:space="preserve">Quelle: </w:t>
      </w:r>
      <w:r>
        <w:t>https://mcp.opencaselaw.ch/entscheid/zh_verwaltungsgericht__VB.2017.00843</w:t>
      </w:r>
    </w:p>
    <w:p>
      <w:r>
        <w:t>FR: ZH_VERWALTUNGSGERICHT VB.2017.00843 du 20 avril 2018</w:t>
      </w:r>
    </w:p>
    <w:p>
      <w:r>
        <w:t>IT: ZH_VERWALTUNGSGERICHT VB.2017.00843 del 20 aprile 2018</w:t>
      </w:r>
    </w:p>
    <w:p>
      <w:pPr>
        <w:pStyle w:val="Heading2"/>
      </w:pPr>
      <w:r>
        <w:t>Regeste</w:t>
      </w:r>
    </w:p>
    <w:p>
      <w:r>
        <w:t>Betriebsbewilligung für eine Kinderkrippe | Da die Beschwerdeführerin die in den Erwägungen der Bewilligungsverfügung enthaltene Auflage betreffend Pensum des Leitungspersonals derzeit erfüllt und keine Änderungen plant, fehlt es ihr an einem schutzwürdigen Interesse; die Vorinstanz ist auf den Rekurs zu Recht nicht eingetreten (E. 2.2). Abweisung.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Ausgangsgemäss sind die Gerichtskosten der Beschwerdeführerin aufzuerlegen (§ 65a Abs. 2 in Verbindung mit § 13 Abs. 2 Satz 1 VRG).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