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VB.2017.00842 vom 20. April 2018</w:t>
      </w:r>
    </w:p>
    <w:p>
      <w:r>
        <w:t>ZH Verwaltungsgericht, 2018-04-20, DE</w:t>
      </w:r>
    </w:p>
    <w:p>
      <w:r>
        <w:rPr>
          <w:b/>
        </w:rPr>
        <w:t xml:space="preserve">Quelle: </w:t>
      </w:r>
      <w:r>
        <w:t>https://mcp.opencaselaw.ch/entscheid/zh_verwaltungsgericht__VB.2017.00842</w:t>
      </w:r>
    </w:p>
    <w:p>
      <w:r>
        <w:t>FR: ZH_VERWALTUNGSGERICHT VB.2017.00842 du 20 avril 2018</w:t>
      </w:r>
    </w:p>
    <w:p>
      <w:r>
        <w:t>IT: ZH_VERWALTUNGSGERICHT VB.2017.00842 del 20 aprile 2018</w:t>
      </w:r>
    </w:p>
    <w:p>
      <w:pPr>
        <w:pStyle w:val="Heading2"/>
      </w:pPr>
      <w:r>
        <w:t>Regeste</w:t>
      </w:r>
    </w:p>
    <w:p>
      <w:r>
        <w:t>Betriebsbewilligung für eine Kinderkrippe | [Anfechtbarkeit von Erwägungen einer Verfügung] Bei der in den Erwägungen enthaltenen Auflage, bei Vollauslastung der Krippe ein Leitungspensum von 90% vorzusehen, handelt es sich um eine anfechtbare Anordnung (E. 2.2). Die Beschwerdeführerin hat ein schutzwürdiges Interesse an der Überprüfung dieser Auflage (E. 2.3). Gutheissung und Rückweisung an die Vorinstanz.</w:t>
      </w:r>
    </w:p>
    <w:p>
      <w:pPr>
        <w:pStyle w:val="Heading2"/>
      </w:pPr>
      <w:r>
        <w:t>Erwägungen</w:t>
      </w:r>
    </w:p>
    <w:p>
      <w:r>
        <w:rPr>
          <w:b/>
        </w:rPr>
        <w:t>E. 4</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Die Gerichtskosten sind demnach dem Beschwerdegegner aufzuerlegen (§ 65a Abs. 2 in Verbindung mit § 13 Abs. 2 Satz 1 VRG).</w:t>
      </w:r>
    </w:p>
    <w:p>
      <w:r>
        <w:rPr>
          <w:b/>
        </w:rPr>
        <w:t>E. 5</w:t>
      </w:r>
    </w:p>
    <w:p>
      <w:r>
        <w:t>Letztinstanzliche kantonale Rückweisungsentscheide sind als Zwischenentscheide im Sinn von Art. 93 BGG zu qualifizieren (BGE 138 I 143 E. 1.2, 133 V 477 E. 4.2; Felix Uhlmann, Basler Kommentar, 2011, Art. 90 BGG N. 9 Abs. 2; Nicolas von Werdt in: Hansjörg Seiler et al., Bundesgerichtsgesetz [BGG], 2. A., Bern 2015, Art. 90 N. 9, Art. 93 N. 6).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