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VB.2017.00787 vom 4. Juli 2018</w:t>
      </w:r>
    </w:p>
    <w:p>
      <w:r>
        <w:t>ZH Verwaltungsgericht, 2018-07-04, DE</w:t>
      </w:r>
    </w:p>
    <w:p>
      <w:r>
        <w:rPr>
          <w:b/>
        </w:rPr>
        <w:t xml:space="preserve">Quelle: </w:t>
      </w:r>
      <w:r>
        <w:t>https://mcp.opencaselaw.ch/entscheid/zh_verwaltungsgericht__VB.2017.00787</w:t>
      </w:r>
    </w:p>
    <w:p>
      <w:r>
        <w:t>FR: ZH_VERWALTUNGSGERICHT VB.2017.00787 du 4 juillet 2018</w:t>
      </w:r>
    </w:p>
    <w:p>
      <w:r>
        <w:t>IT: ZH_VERWALTUNGSGERICHT VB.2017.00787 del 4 luglio 2018</w:t>
      </w:r>
    </w:p>
    <w:p>
      <w:pPr>
        <w:pStyle w:val="Heading2"/>
      </w:pPr>
      <w:r>
        <w:t>Regeste</w:t>
      </w:r>
    </w:p>
    <w:p>
      <w:r>
        <w:t>Lohnklasseneinteilung | [Lohnklassenbesitzstand nach Funktionswechsel] Die nach dem Rücktritt als Rektor erfolgte Neueinreihung einer Berufsschullehrperson mbA in einer tieferen Lohnklasse entspricht der gesetzlichen Regelung (E. 2.2). Aus einem noch unter altem Recht verfassten Schreiben der heute nicht mehr zuständigen Volkswirtschaftsdirektion kann der Beschwerdeführer nichts zu seinen Gunsten ableiten (E. 3.1). Soweit überhaupt eine Praxisänderung vorläge, verstiesse diese nicht gegen Treu und Glauben (E. 3.2). Abweisung.</w:t>
      </w:r>
    </w:p>
    <w:p>
      <w:pPr>
        <w:pStyle w:val="Heading2"/>
      </w:pPr>
      <w:r>
        <w:t>Erwägungen</w:t>
      </w:r>
    </w:p>
    <w:p>
      <w:r>
        <w:rPr>
          <w:b/>
        </w:rPr>
        <w:t>E. 4</w:t>
      </w:r>
    </w:p>
    <w:p>
      <w:r>
        <w:t>Damit ist die Beschwerde als unbegründet abzuweisen, soweit (nach dem oben 1.2 Gesagten) auf sie einzutreten ist.</w:t>
      </w:r>
    </w:p>
    <w:p>
      <w:r>
        <w:rPr>
          <w:b/>
        </w:rPr>
        <w:t>E. 5</w:t>
      </w:r>
    </w:p>
    <w:p>
      <w:r>
        <w:t>Weil der Streitwert weniger als Fr. 30'000.- beträgt (oben 1.3), sind die Gerichtskosten auf die Gerichtskasse zu nehmen (§ 65a Abs. 3 VRG). Der unterliegende Beschwerdeführer hat keinen Anspruch auf eine Parteientschädigung (§ 17 Abs. 2 VRG).</w:t>
      </w:r>
    </w:p>
    <w:p>
      <w:r>
        <w:rPr>
          <w:b/>
        </w:rPr>
        <w:t>E. 6</w:t>
      </w:r>
    </w:p>
    <w:p>
      <w:r>
        <w:t>Weil vorliegend von einem Fr. 15'000.- nicht erreichenden Streitwert auszugehen ist (oben 1.3), ist die Beschwerde in öffentlichrechtlichen Angelegenheiten an das Bundesgericht nur zulässig, wenn sich eine Rechtsfrage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