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VB.2017.00723 vom 11. Januar 2018</w:t>
      </w:r>
    </w:p>
    <w:p>
      <w:r>
        <w:t>ZH Verwaltungsgericht, 2018-01-11, DE</w:t>
      </w:r>
    </w:p>
    <w:p>
      <w:r>
        <w:rPr>
          <w:b/>
        </w:rPr>
        <w:t xml:space="preserve">Quelle: </w:t>
      </w:r>
      <w:r>
        <w:t>https://mcp.opencaselaw.ch/entscheid/zh_verwaltungsgericht__VB.2017.00723</w:t>
      </w:r>
    </w:p>
    <w:p>
      <w:r>
        <w:t>FR: ZH_VERWALTUNGSGERICHT VB.2017.00723 du 11 janvier 2018</w:t>
      </w:r>
    </w:p>
    <w:p>
      <w:r>
        <w:t>IT: ZH_VERWALTUNGSGERICHT VB.2017.00723 del 11 gennaio 2018</w:t>
      </w:r>
    </w:p>
    <w:p>
      <w:pPr>
        <w:pStyle w:val="Heading2"/>
      </w:pPr>
      <w:r>
        <w:t>Regeste</w:t>
      </w:r>
    </w:p>
    <w:p>
      <w:r>
        <w:t>Entzug Führerausweis | Überfahren einer Sicherheitslinie: Grobe Verkehrsregelverletzung. Der Beschwerdeführer hat den Sachverhalt nicht bestritten und liess den Strafbefehl unangefochten. Er hat im Rahmen eines Überholmanövers sowohl eine doppelte als auch eine einfache Sicherheitslinie über- und die Fahrbahn des Gegenverkehrs befahren. Unabhängig von dem zu diesem Zeitpunkt herrschenden Verkehrsaufkommen hat er damit eine abstrakte Gefahr geschaffen, welche nach der Rechtsprechung für die Annahme einer groben Verkehrsregelverletzung genügt. Dass keine konkrete Gefahr geschaffen wurde, ist daher unerheblich. Anhaltspunkte für die Unrichtigkeit der Tatsachenfeststellung und deren rechtlichen Würdigung im Strafurteil, welche ein Abweichen davon rechtfertigen würden, bestehen keine (E. 3). Die Mindestentzugsdauer beträgt in solchen Fällen drei Monate und darf nicht unterschritten werden. Dass der Beschwerdeführer ansonsten über einen guten automobilistischen Leumund verfügt, ist daher unerheblich (E. 4). Abweisung.</w:t>
      </w:r>
    </w:p>
    <w:p>
      <w:pPr>
        <w:pStyle w:val="Heading2"/>
      </w:pPr>
      <w:r>
        <w:t>Erwägungen</w:t>
      </w:r>
    </w:p>
    <w:p>
      <w:r>
        <w:rPr>
          <w:b/>
        </w:rPr>
        <w:t>E. 4</w:t>
      </w:r>
    </w:p>
    <w:p>
      <w:r>
        <w:t>Nach einer schweren Widerhandlung gegen das Strassenverkehrsgesetz wird der Füh­rerausweis entzogen (Art. 16c Abs. 2 SVG). Bezüglich der festgesetzten Dauer kann vorab auf die zutreffenden Erwägungen der Rekursinstanz verwiesen werden (§ 70 in Verbindung mit § 28 Abs. 1 Satz 2 VRG). Danach beträgt die Mindestentzugsdauer gemäss Art. 16c Abs. 2 lit. a SVG drei Monate und darf nach Art. 16 Abs. 3 Satz 2 SVG nicht unterschritten werden (BGE 135 II 334 E. 2.2). Dass der Beschwerdeführer ansonsten über einen guten automobilistischen Leumund verfügt, ist daher unerheblich. Ausführungen zur geltend gemachten beruflichen Massnahmeempfindlichkeit erübrigen sich damit ebenfalls. Die Voraussetzungen für einen Führerausweisentzug von drei Monaten gemäss Art. 16c Abs. 1 lit. a und Art. 16c Abs. 2 lit. a SVG sind erfüllt. Demnach erweisen sich der Rekursentscheid der Vorinstanz und die Verfügung der Beschwerdegegnerin als rechtmässig. Dies führt zur Abweisung der Beschwerde.</w:t>
      </w:r>
    </w:p>
    <w:p>
      <w:r>
        <w:rPr>
          <w:b/>
        </w:rPr>
        <w:t>E. 5</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