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VB.2017.00648 vom 14. März 2018</w:t>
      </w:r>
    </w:p>
    <w:p>
      <w:r>
        <w:t>ZH Verwaltungsgericht, 2018-03-14, DE</w:t>
      </w:r>
    </w:p>
    <w:p>
      <w:r>
        <w:rPr>
          <w:b/>
        </w:rPr>
        <w:t xml:space="preserve">Quelle: </w:t>
      </w:r>
      <w:r>
        <w:t>https://mcp.opencaselaw.ch/entscheid/zh_verwaltungsgericht__VB.2017.00648</w:t>
      </w:r>
    </w:p>
    <w:p>
      <w:r>
        <w:t>FR: ZH_VERWALTUNGSGERICHT VB.2017.00648 du 14 mars 2018</w:t>
      </w:r>
    </w:p>
    <w:p>
      <w:r>
        <w:t>IT: ZH_VERWALTUNGSGERICHT VB.2017.00648 del 14 marzo 2018</w:t>
      </w:r>
    </w:p>
    <w:p>
      <w:pPr>
        <w:pStyle w:val="Heading2"/>
      </w:pPr>
      <w:r>
        <w:t>Regeste</w:t>
      </w:r>
    </w:p>
    <w:p>
      <w:r>
        <w:t>Abfindung | [Der Beschwerdeführer macht nach seiner Pensionierung eine finanzielle Entschädigung dafür geltend, dass er trotz seiner Berufserfahrung und den von ihm während seiner 20-jährigen Anstellung erfüllten besonderen Aufgaben nicht als Lehrperson mbA eingestuft und entsprechend entlöhnt worden sei.] Zuständigkeit und Eintreten (E. 1.1); Streitwert (E. 1.2). Abweisung des Gesuchs um Mediation (E. 2). Der Beschwerdeführer muss sich die Rechtskraft seiner Anstellungs- bzw. Einstufungsverfügungen entgegenhalten lassen, weshalb ihm selbst für den Fall, dass er tatsächlich als Mittelschullehrperson mbA anzustellen gewesen wäre, deswegen keine rückwirkende (höhere) Lohnzahlung zu gewähren wäre; nichts anderes gälte - gegebenenfalls - bei einer rechtsungleichen Besoldung in der Vergangenheit, verschafft das allgemeine Rechtsgleichheitsgebot doch nicht unmittelbar ein subjektives Recht auf einen rechtsgleichen Lohn, sondern nur einen Anspruch auf Beseitigung der Ungleichheit für die Zukunft (E. 3.3). Zumindest für einige der vom Beschwerdeführer genannten Zusatzleistungen hätte diesem jedoch nach der Praxis des Beschwerdegegners wohl eine Zulage nach § 13 Abs. 2 MBVO gewährt werden müssen, wobei solches – soweit ersichtlich – vom Beschwerdegegner nicht geprüft wurde. Es rechtfertigt sich daher, die Sache in diesem Punkt zur ergänzenden Abklärung und zu neuem Entscheid an diesen zurückzuweisen (zum Ganzen E. 3.4 f.). Kostenfolge (E. 5). Teilweise Gutheissung und Rückweisung.</w:t>
      </w:r>
    </w:p>
    <w:p>
      <w:pPr>
        <w:pStyle w:val="Heading2"/>
      </w:pPr>
      <w:r>
        <w:t>Erwägungen</w:t>
      </w:r>
    </w:p>
    <w:p>
      <w:r>
        <w:rPr>
          <w:b/>
        </w:rPr>
        <w:t>E. 4</w:t>
      </w:r>
    </w:p>
    <w:p>
      <w:r>
        <w:t>Nach dem Gesagten ist die Beschwerde teilweise gutzuheissen. Die Verfügung des Beschwerdegegners vom 22. Juli 2016 und Dispositiv-Ziff. I der Verfügung der Vorinstanz vom 29. August 2017 sind aufzuheben, und die Sache ist zu neuem Entscheid nach ergänzender Abklärung an den Beschwerdegegner zurückzuweisen.</w:t>
      </w:r>
    </w:p>
    <w:p>
      <w:r>
        <w:rPr>
          <w:b/>
        </w:rPr>
        <w:t>E. 5</w:t>
      </w:r>
    </w:p>
    <w:p>
      <w:r>
        <w:t>Da die vom Beschwerdeführer im Maximum geltend gemachte Entschädigung von insgesamt Fr. 279'652.- über die Streitwertgrenze von Fr. 30'000.- hinausgeht, ist das Verfahren kostenpflichtig (§ 65a Abs. 3 Satz 1 VRG). Die Rückweisung zur erneuten Entscheidung bei offenem Ausgang ist in Bezug auf die Regelung der Nebenfolgen als Obsiegen zu behandeln, wenn die Rechtsmittelinstanz reformatorisch oder kassatorisch entscheiden kann (BGr, 28. April 2014, 2C_846/2013, E. 3.2 f. mit Hinweisen; Donatsch, § 64 N. 5). Vorliegend kann die infolge Rückweisung vorzunehmende Neubeurteilung allerdings mit Blick auf die Höhe der verlangten Entschädigung nicht mehr zu einer vollständigen Gutheissung des beschwerdeführerischen Rechtsmittels führen, weshalb es sich rechtfertigt, die Kosten des Beschwerdeverfahrens zu 2/3 dem Beschwerdegegner und zu 1/3 dem Beschwerdeführer aufzuerlegen.</w:t>
      </w:r>
    </w:p>
    <w:p>
      <w:r>
        <w:rPr>
          <w:b/>
        </w:rPr>
        <w:t>E. 6</w:t>
      </w:r>
    </w:p>
    <w:p>
      <w:r>
        <w:t>Zur Rechtsmittelbelehrung des nachfolgenden Urteildispositivs ist Folgendes zu erläutern: Gemäss Art. 85 Abs. 1 lit. b des Bundesgerichtsgesetzes vom 17. Juni 2005 (BGG, SR 173.110) ist die Beschwerde in öffentlichrechtlichen Angelegenheiten bei vermögensrechtlichen Streitigkeiten auf dem Gebiet der öffentlich rechtlichen Arbeitsverhältnisse nur zulässig , wenn der Streitwert mehr als Fr. 15 ' 000.- beträgt. Nachdem die Streitwertgrenze vorliegend erreicht wird, steht somit d ie Beschwerde in öffentlichrechtlichen Angelegenheiten zur Verfügung. Zu beachten ist dabei, dass l etztinstanzliche kantonale Rückweisungsentscheide als Zwischenentscheide im Sinn von Art. 93 (in Verbindung mit Art. 117) BGG zu qualifizieren sind ( BGE 138 I 143 E. 1.2, 133 V 477 E. 4.2 ).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