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VB.2017.00597 vom 7. Dezember 2016</w:t>
      </w:r>
    </w:p>
    <w:p>
      <w:r>
        <w:t>ZH Verwaltungsgericht, 2016-12-07, DE</w:t>
      </w:r>
    </w:p>
    <w:p>
      <w:r>
        <w:rPr>
          <w:b/>
        </w:rPr>
        <w:t xml:space="preserve">Quelle: </w:t>
      </w:r>
      <w:r>
        <w:t>https://mcp.opencaselaw.ch/entscheid/zh_verwaltungsgericht__VB.2017.00597</w:t>
      </w:r>
    </w:p>
    <w:p>
      <w:r>
        <w:t>FR: ZH_VERWALTUNGSGERICHT VB.2017.00597 du 7 décembre 2016</w:t>
      </w:r>
    </w:p>
    <w:p>
      <w:r>
        <w:t>IT: ZH_VERWALTUNGSGERICHT VB.2017.00597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der Beschwerdeführer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Aufgrund der Akten ist davon auszugehen, dass der Beschwerdeführer identisch ist mit der Person, welche das angefochtene Merkblatt unterzeichnet hat und er damit beschwerdelegitimiert ist (E. 1.3). Es liegt keine Verletzung des rechtlichen Gehörs vor (E. 2). Die im Merkblatt geregelten Auszahlungsmodalitäten stellen einen Realakt dar. Weder im Merkblatt noch in der Rekursvernehmlassung des Beschwerdegegners liegt eine anfechtbare Anordnung im Sinn von § 19 Abs. 1 VRG (E. 6.1) vor. Nachdem keine anfechtbare Anordnung vorliegt, ist § 25 Abs. 1 VRG nicht anwendbar, da die aufschiebende Wirkung an eine mit Rekurs anfechtbare Anordnung anschliesst (E. 6.2). Eine schwerwiegende Einschränkung des Grundrechts auf Bewegungsfreiheit bzw. anderer Grundrechte ist vorliegend nicht zu erkennen, dies legt der Beschwerdeführer denn auch nicht substanziiert dar. Aus diesem Grund sowie aufgrund der negativen Entscheidprognose fällt die Anordnung von vorsorglichen Massnahmen ausser Betracht (E. 6.3). Gewährung UP/URB (E. 7.2). Abweisung der Beschwerde.</w:t>
      </w:r>
    </w:p>
    <w:p>
      <w:pPr>
        <w:pStyle w:val="Heading2"/>
      </w:pPr>
      <w:r>
        <w:t>Erwägungen</w:t>
      </w:r>
    </w:p>
    <w:p>
      <w:r>
        <w:rPr>
          <w:b/>
        </w:rPr>
        <w:t>E. 3</w:t>
      </w:r>
    </w:p>
    <w:p>
      <w:r>
        <w:t>Abteilung VB.2017.00597 Urteil des Einzelrichters vom 12. Februar 2018 Mitwirkend: Verwaltungsrichter Rudolf Bodmer, Gerichtsschreiberin Rahel Zehnder. In Sachen A, NUK B, vertreten durch RA C, Beschwerdeführer , gegen Sozialamt des Kantons Zürich, Beschwerdegegner , betreffend Nothilfe (aufschiebende Wirkung/vorsorgliche Massnahmen), hat sich ergeben: I. D, geboren 1989, von E, reiste am 14. Juni 2012 in die Schweiz ein, wo er gleichentags um Gewährung von Asyl ersuchte. Das Bundesamt für Migration trat am 4. Juli 2012 auf das Gesuch von D nicht ein und verfügte dessen Wegweisung. Auf das Mehrfachgesuch vom 24. Dezember 2014 wurde nicht eingetreten. Am 4. November 2016 stellte D ein neuerliches Mehrfachgesuch, über welches noch nicht entschieden wurde. Seit dem 21. März 2017 befindet sich D in der Notunterkunft (NUK) B, wo ihm Nothilfe gewährt wird. Am 30. Januar 2017 unterzeichnete er dort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Am 1. März 2017 wurde unter dem Namen A bei der Sicherheitsdirektion des Kantons Zürich Rekurs gegen das Merkblatt erhoben und unter anderem beantragt, es sei umgehend festzustellen, dass dem Rekurs die aufschiebende Wirkung zukomme bzw. der Rekursgegner sei anzuweisen, dem Rekurrenten bis zum rechtskräftigen Abschluss des Verfahrens dreimal pro Woche am Montag, Mittwoch und Freitag jeweils Fr. 20.- für Nahrung, Kleidung und Hygienemittel als Nothilfe in der NUK B auszurichten. Eventualiter sei die aufschiebende Wirkung des Rekurses superprovisorisch anzuordnen bzw. der Rekursgegner sei anzuweisen, dem Rekurrenten bis zum rechtskräftigen Abschluss des Verfahrens dreimal pro Woche am Montag, Mittwoch und Freitag jeweils Fr. 20.- für Nahrung, Kleidung und Hygienemittel als Nothilfe in der NUK B auszurichten. Mit Zwischenentscheid vom 28.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13. September 2017 mit Beschwerde an das Verwaltungsgericht und beantragte die Aufhebung des Zwischenentscheids vom 28. Juli 2017. Auf das Gesuch um Feststellung der aufschiebenden Wirkung sei einzutreten und es sei umgehend festzustellen, dass dem an die Rekursabteilung der Sicherheitsdirektion Zürich gerichteten Rekurs Nr. 01 die aufschiebende Wirkung zukomme. Der Beschwerdegegner sei anzuweisen, dem Beschwerdeführer bis zum rechtskräftigen Abschluss des Rekursverfahrens Nr. 01 der Rekursabteilung der Sicherheitsdirektion Zürich weiterhin dreimal pro Woche, nämlich am Montag, Mittwoch und Freitag, jeweils Fr. 20.- für Nahrung, Kleidung und Hygienemittel als Nothilfe in der NUK B auszurichten; unter Kosten- und Entschädigungsfolge zulasten des Beschwerdegegners. Sodann ersuchte er um Gewährung der unentgeltlichen Prozessführung und unentgeltlichen Rechtsverbeiständung. Am 12. Oktober 2017 reichte das Kantonale Sozialamt die Beschwerdeantwort ein und beantragte, auf die Beschwerde sei nicht einzutreten. Eventualiter sei die Beschwerde abzuweisen. In verfahrensrechtlicher Hinsicht sei der Beschwerde die aufschiebende Wirkung zu entziehen, sollte auf sie eingetreten und auf eine positive Anordnung erkannt werden. Eventualiter sei festzustellen, dass die aufschiebende Wirkung nur den Auszahlungsmodus (Montag, Mittwoch, Freitag) beschlage; unter Kostenfolgen zulasten des Beschwerdeführers. Das Kantonale Sozialamt machte insbesondere geltend, bei A und D handle es sich nicht um dieselbe Person. A habe kein Rechtsschutzinteresse, da er nicht in der NUK B wohne und das angefochtene Merkblatt von D unterzeichnet worden sei. Die Sicherheitsdirektion übermittelte am 15. Oktober 2017 die Akten und verzichtete gleichzeitig auf Vernehmlassung. A replizierte am 27. November 2017. Am 4. Dezember 2017 reichte seine Rechtsvertreterin ihre Honorarnote ein. Das Kantonale Sozialamt reichte am 5. Dezember 2017 die Duplik ein. Dazu liess sich A nicht mehr vernehmen.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der Beschwerdeführer im Rekursverfahren die Auszahlungsmodalitäten der Nothilfe. Eine Missachtung der von ihm als rechtswidrig gerügten Auszahlungsmodalitäten hätte zur Folge, dass er keine – im Merkblatt nicht bezifferte – Nothilfegelder erhalten würde. Der Beschwerdeführer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28.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der Entscheid der Vorinstanz habe für ihn unter anderem zur Folge, dass er in seiner verfassungsmässig garantierten Bewegungsfreiheit massiv eingeschränkt sei. Durch den offensichtlich rechtswidrigen Vollzug des Merkblatts habe er sich jeden Tag zweimal in der Notunterkunft zu melden. Diese Verletzung seiner Grundrechte lasse sich auch durch einen für den Beschwerdeführer günstigen Entscheid nicht ungeschehen machen. Hinzu kämen die finanziellen Folgen, welche den Beschwerdeführer in seiner Existenz und Menschenwürde bedrohen respektive treffen würden. Beuge er sich dem neuen Regime nicht, würden ihm die Nothilfegelder nicht ausgerichtet. Er könne somit elementarste Bedürfnisse wie Nahrung und Körperpflege nicht mehr bestreiten. Auch dies stelle einen nicht wiedergutzumachenden Nachteil dar. Nicht zuletzt seien hier von der Bundesverfassung garantierte und nicht verhandelbare Grundrechte betroffen, so die Menschenwürde und das Recht auf Hilfe in Notlagen.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Gemäss den im Merkblatt vorgeschriebenen Auszahlungsmodalitäten hat der Beschwerdeführer seine Nothilfebedürftigkeit durch seine Präsenz am Morgen und Abend sowie durch die Übernachtung in der Notunterkunft zu bestätigen, ansonsten er das Nothilfegeld nicht ausbezahlt erhält. Dadurch wird der Beschwerdeführer in seiner Bewegungsfreiheit eingeschränkt. Auch wenn sich der Beschwerdeführer täglich in der Notunterkunft aufhalten und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der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Daran ändert sich auch nichts dadurch, dass derzeit noch ein sogenanntes Mehrfachgesuch nach Art. 111c des Asylgesetzes vom 26. Juni 1998 (AsylG) hängig ist. Gemäss Art. 82 Abs. 2 AsylG erhalten Personen mit einem rechtskräftigen Wegweisungsentscheid und Asylsuchende während der Dauer eines ausserordentlichen Rechtsmittelverfahrens oder eines Asylverfahrens nach Art. 111c AsylG auf Ersuchen hin Nothilfe. Dies gilt auch, wenn der Vollzug der Wegweisung ausgesetzt wird. Solange über das Mehrfachgesuch nicht rechtskräftig entschieden ist, hat sich der Beschwerdeführer damit den Modalitäten zur Ausrichtung der Nothilfe unterzuordnen. Dies ändert aber wiederum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Es bleibt zu prüfen, ob der Beschwerdeführer zur Erhebung der Beschwerde berechtigt ist. 1.3.1 Zur Beschwerde ist berechtigt, wer durch die Anordnung berührt ist und ein schutzwürdiges Interesse an deren Aufhebung oder Änderung hat (§ 49 in Verbindung mit § 21 Abs. 1 VRG). Das geltend gemachte Interesse an der Streitsache muss grundsätzlich aktuell sein, d. h. es muss sowohl im Zeitpunkt der Rechtsmittelerhebung als auch im Zeitpunkt des Entscheids vorliegen. Für den Nachweis der Beschwerdelegitimation wird in der Regel das Glaubhaftmachen verlangt (Bertschi, § 21 N. 24 und 39). 1.3.2 Das von A mit Rekurs angefochtene Merkblatt wurde von D unterzeichnet. Die Rechtsvertreterin des Beschwerdeführers macht geltend, der Beschwerdeführer sei identisch mit der Person, welche das angefochtene Merkblatt unterzeichnet hat. Sie habe den Beschwerdeführer bereits mehrfach vertreten, als er beim Migrationsamt Zürich und beim Obergericht Zürich als D registriert gewesen sei. Nachdem der Beschwerdeführer am 3. November 2016 ein – derzeit noch hängiges – Drittasylgesuch unter Nennung seiner wahren Identität eingereicht habe, sei sie davon ausgegangen, sie müsse nun in künftigen Rechtsschriften die neue Identität nennen. Alle Instruktionen seien durch ein und dieselbe Person erfolgt. Diese Ausführungen der Rechtsvertreterin des Beschwerdeführers werden durch eine Verfügung des Migrationsamts des Kantons Zürich vom 24. November 2016 gestützt, in welcher D und A als ein und dieselbe Person behandelt und offenbar von einem Pseudonym ausgegangen wurde. Sodann scheint auch die Unterschrift auf dem Merkblatt mit jener auf der eingereichten Vollmacht übereinzustimmen. Ausserdem ist bekannt, dass D bereits früher unter mehreren Nebenidentitäten aufgetreten ist. Es erscheint daher nicht abwegig, dass auch D eine Nebenidentität darstellt. Es stellt sich zwar die Frage, weshalb der Eintrag im ZEMIS bislang nicht angepasst wurde. Insgesamt erscheint es aber glaubhaft, dass es sich beim Beschwerdeführer und der Person, welche das angefochtene Merkblatt unterzeichnet hat, um ein und dieselbe Person handelt. Der Beschwerdeführer wohnt offenbar unter dem Namen D in der NUK B und bezieht dort Nothilfeleistungen. Damit ist der Beschwerdeführer beschwerdelegitimiert, weshalb auf die Beschwerde einzutreten ist. 2. 2.1 Der Beschwerdeführer rügt, die Vorinstanz habe seinen Anspruch auf ausreichende Begründung als Ausfluss seines Anspruchs auf rechtliches Gehör verletzt, indem sie sich mit dem von ihm zitierten Zwischenentscheid des Verwaltungsgerichts im Verfahren VB.2017.00299 in keiner Weise auseinandergesetzt habe. 2.2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2.3 Tatsächlich setzte sich die Vorinstanz mit dem Zwischenentscheid im Verfahren VB.2017.00299 nicht auseinander. Es ist jedoch festzuhalten, dass der Beschwerdeführer keinen Anspruch darauf hat, dass sich die Vorinstanz mit allen Parteistandpunkten einlässlich auseinandersetzt und jedes einzelne Vorbringen ausdrücklich abhandelt. Hinzu kommt, dass der vom Beschwerdeführer vorgebrachte Zwischenentscheid ohnehin keine präjudizielle Wirkung für das vorliegende Verfahren hat (vgl. hinten E. 5). Insgesamt erscheint der angefochtene Entscheid genügend begründet, zumal die Vorinstanz in ausreichender Weise darlegt, weshalb sie auf das Gesuch um Feststellung der aufschiebenden Wirkung nicht eintritt und jenes um Erlass vorsorglicher Massnahmen abweist. Auf dieser Grundlage war der Beschwerdeführer denn auch in der Lage, den vorinstanzlichen Entscheid anzufechten. Es liegt deshalb keine Gehörsverletzung vor.</w:t>
      </w:r>
    </w:p>
    <w:p>
      <w:r>
        <w:rPr>
          <w:b/>
        </w:rPr>
        <w:t>E. 3.1</w:t>
      </w:r>
    </w:p>
    <w:p>
      <w:r>
        <w:t>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w:t>
      </w:r>
    </w:p>
    <w:p>
      <w:r>
        <w:rPr>
          <w:b/>
        </w:rPr>
        <w:t>E. 3.2</w:t>
      </w:r>
    </w:p>
    <w:p>
      <w:r>
        <w:t>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4.1</w:t>
      </w:r>
    </w:p>
    <w:p>
      <w:r>
        <w:t>Die Vorinstanz erwog, das vorliegende sei eines von rund 50 gegen das Merkblatt gerichteten Rekursverfahren. Mangels eines hinreichenden Anfechtungsobjekts wäre auf die Rekurse gegen das Merkblatt nicht einzutreten. Aus prozessökonomischen Gründen rechtfertige es sich aber, die Vernehmlassungen des Beschwerdegegners in den Rekursverfahren als Anordnungen im Sinn von § 10c Abs. 2 VRG entgegenzunehmen und die Eingaben auch als gegen diese gerichtet zu begreifen.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Nachdem der Rekurs von Gesetzes wegen aufschiebende Wirkung habe, erübrige sich eine superprovisorische Anordnung derselben. Die geänderten Auszahlungsmodalitäten seien dem Beschwerdeführer ohne Weiteres zumutbar, weshalb das Gesuch um Erlass superprovisorischer Mass­nahmen abzuweisen sei.</w:t>
      </w:r>
    </w:p>
    <w:p>
      <w:r>
        <w:rPr>
          <w:b/>
        </w:rPr>
        <w:t>E. 4.2</w:t>
      </w:r>
    </w:p>
    <w:p>
      <w:r>
        <w:t>Dagegen wendet der Beschwerdeführer ein, beim Merkblatt handle es sich nicht um einen Realakt, sondern um eine Verfügung respektive eine anfechtbare Anordnung im Sinn von § 19 Abs. 1 lit. a (eventuell lit. b) VRG. Entscheidend sei, dass eine gestützt auf § 10c Abs. 2 VRG erlassene förmliche Verfügung exakt denselben Regelungsinhalt wie das Merkblatt enthalten würde. Der Rekurs richte sich gegen diesen identischen Regelungsinhalt, unabhängig davon, ob er in einem Merkblatt oder in einer förmlichen Verfügung daherkomme. Entscheidend sei, dass diese neue Regelung staatliches Handeln darstelle, welches massiv in die Rechtsstellung der Betroffenen eingreife. Es handle sich dabei um eine positive Verfügung. Das Merkblatt sei aufgrund des Suspensiveffektes des Rekurses gemäss § 25 Abs. 1 VRG bis zum Rekursentscheid in der Hauptsache rechtlich nicht wirksam und dürfe damit nicht vollzogen werden.</w:t>
      </w:r>
    </w:p>
    <w:p>
      <w:r>
        <w:rPr>
          <w:b/>
        </w:rPr>
        <w:t>E. 4.3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Sodann führt der Beschwerdegegner aus, dass in der Rekursvernehmlassung vom 28. März 2017 kein Anfechtungsobjekt zu erkennen sei. Vorliegend habe der Beschwerdeführer weder nachgewiesen, dass es von den Modalitäten der Nothilfeausrichtung überhaupt betroffen sei, noch habe er den Beschwerdegegner um Erlass einer anfechtbaren Verfügung ersucht. Die Umdeutung der Vernehmlassung in eine Anordnung nach § 10c Abs. 2 VRG sei auch deshalb unzulässig. Selbst wenn man aber die Betroffenheit des Beschwerdeführers bejahen würde und der Vernehmlassung vom 28. März 2017 den Charakter einer Verfügung nach § 10c Abs. 2 VRG zuerkennen wollte, so handle es sich dabei nicht um eine positive Anordnung.</w:t>
      </w:r>
    </w:p>
    <w:p>
      <w:r>
        <w:rPr>
          <w:b/>
        </w:rPr>
        <w:t>E. 5</w:t>
      </w:r>
    </w:p>
    <w:p>
      <w:r>
        <w:t>Soweit sich der Beschwerdeführer auf den Zwischenentscheid des Verwaltungsgerichts im Verfahren VB.2017.00299 beruft, kann er daraus nichts zu seinen Gunsten ableiten. Zwischenentscheide erwachsen nicht in materielle Rechtskraft.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6.1</w:t>
      </w:r>
    </w:p>
    <w:p>
      <w:r>
        <w:t>Die Frage der aufschiebenden Wirkung sowie der Notwendigkeit von vorsorglichen Massnahmen im Rekurs- bzw. Beschwerdeverfahren lässt sich nicht losgelöst von der Frage des dem vor­instanzlichen Verfahren zugrunde liegenden Anfechtungsobjekts beantworten. Hinzu kommt, dass der Beschwerdegegner das Vorliegen einer anfechtbaren Verfügung bestreitet. Es rechtfertigt sich deshalb, vorab zu prüfen, ob das Merkblatt bzw. die Rekursvernehmlassung des Beschwerdegegners vom 28. März 2017 eine mit Rekurs anfechtbare Verfügung darstellt. Die im Merkblatt enthaltenen Auszahlungsmodalitäten sind auf einen tatsächlichen Erfolg ausgerichtet, indem Nothilfe erhalten soll, wer an den Anwesenheitskontrollen anwesend war und in der Notunterkunft übernachtet,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Nachdem der Beschwerdeführer den Beschwerdegegner nicht um Erlass einer anfechtbaren Anordnung ersucht hat, liegt auch kein unrechtmässiges Verweigern einer solchen gemäss § 19 Abs. 1 lit. b VRG vor.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vom 1. Februar 2017 noch die Rekursvernehmlassung des Beschwerdegegners vom 28. März 2017 eine anfechtbare Verfügung im Sinn von § 19 Abs. 1 VRG dar.</w:t>
      </w:r>
    </w:p>
    <w:p>
      <w:r>
        <w:rPr>
          <w:b/>
        </w:rPr>
        <w:t>E. 6.2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3.1) und eine solche vorliegend nicht besteht (vorn E. 6.1). Dementsprechend ist § 25 Abs. 1 VRG im vorliegenden Fall nicht anwendbar, weshalb das Nichteintreten der Vorinstanz in Dispositivziffer I des angefochtenen Zwischenentscheids im Ergebnis dennoch nicht zu beanstanden ist.</w:t>
      </w:r>
    </w:p>
    <w:p>
      <w:r>
        <w:rPr>
          <w:b/>
        </w:rPr>
        <w:t>E. 6.3</w:t>
      </w:r>
    </w:p>
    <w:p>
      <w:r>
        <w:t>Da dem Rekurs keine aufschiebende Wirkung zukommt, stellt sich die Frage, ob die Vorinstanz vorsorgliche Massnahmen hätte anordnen müssen.</w:t>
      </w:r>
    </w:p>
    <w:p>
      <w:r>
        <w:rPr>
          <w:b/>
        </w:rPr>
        <w:t>E. 6.3.1</w:t>
      </w:r>
    </w:p>
    <w:p>
      <w:r>
        <w:t>Die Anordnung von vorsorglichen Massnahmen setzt einen schweren, nicht wiedergutzumachenden Nachteil voraus. In seiner Beschwerdeschrift legt der Beschwerdeführer nicht dar, inwiefern ein solcher Nachteil vorliegt. Vielmehr äussert er sich lediglich zur Frage der aufschiebenden Wirkung. Allerdings ergibt sich zumindest aus den Ausführungen zur Eintretensfrage, dass der Beschwerdeführer einen (schweren) Nachteil in der Einschränkung seiner Bewegungsfreiheit, der Menschenwürde und des Rechts auf Hilfe in Notlagen sieht. Diesbezüglich ist allerdings zu berücksichtigen, dass sich der Beschwerdeführer als abgewiesener Asylbewerber in einem besonderen Rechtsverhältnis gegenüber den Behörden befindet. Dies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im Beschwerdeverfahren nicht substan­ziiert dar, dass und inwiefern ihn die täglich stattfindenden Anwesenheitskontrollen sowie die Übernachtungspflicht in schwerer Weise in seiner Bewegungsfreiheit bzw. anderen Grundrechten einschränken würden. Aus den vorinstanzlichen Akten geht zwar hervor, dass beim Beschwerdeführer im März 2013 eine Depression sowie im März 2017 eine reaktivierte offene Lungentuberkulose diagnostiziert wurden. Die Lungentuberkulose wurde medikamentös behandelt. Nachdem der Beschwerdeführer in der Beschwerde seinen Gesundheitszustand nicht thematisiert, ist davon auszugehen, dass sein Gesundheitszustand nicht gegen eine Übernachtung in der Notunterkunft spricht. Hinzu kommt, dass es sich beim Beschwerdeführer um einen ledigen, erwachsenen Mann ohne Unterhaltspflichten handelt. Unter diesen Umständen ist dem Beschwerdeführer durchaus zumutbar, die Nacht in einer Gemeinschaftsunterkunft zu verbringen (vgl. BGE 139 I 272 = Pra 103 [2014] Nr. 54 E. 3.4). Dies umso mehr, als die Nothilfe an den von den Kantonen bezeichneten Orten auszurichten ist (Art. 82 Abs. 4 AsylG). Dabei ist ausserdem zu bedenken, dass der Beschwerdeführer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Eine schwerwiegende Beeinträchtigung der Bewegungsfreiheit oder anderer Grundrechte im Sinn einer bedeutenden Einschränkung dieser Grundrechte ist durch die Anwesenheitspflichten zum Bezug der Nothilfe nicht zu erkennen (vgl. dazu VGr, 27. Oktober 2017, VB.2017.00299, E. 5.4 f.).</w:t>
      </w:r>
    </w:p>
    <w:p>
      <w:r>
        <w:rPr>
          <w:b/>
        </w:rPr>
        <w:t>E. 6.3.2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6.1). Dementsprechend ist davon auszugehen, dass die Vorinstanz in der Hauptsache nicht auf den Rekurs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6.3.3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6.4</w:t>
      </w:r>
    </w:p>
    <w:p>
      <w:r>
        <w:t>Zusammengefasst ist die Beschwerde abzuweisen.</w:t>
      </w:r>
    </w:p>
    <w:p>
      <w:r>
        <w:rPr>
          <w:b/>
        </w:rPr>
        <w:t>E. 7.1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7.2</w:t>
      </w:r>
    </w:p>
    <w:p>
      <w:r>
        <w:t>Zu prüfen bleibt das Gesuch des Beschwerdeführers um Gewährung der unentgeltlichen Prozessführung und der unentgeltlichen Rechtsverbeiständung für das Beschwerdeverfahren.</w:t>
      </w:r>
    </w:p>
    <w:p>
      <w:r>
        <w:rPr>
          <w:b/>
        </w:rPr>
        <w:t>E. 7.2.1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Der Beschwerdeführer ist nothilfeabhängig, weshalb von seiner Mittellosigkeit auszugehen ist. Die Beschwerde erschien mindestens insofern nicht als offensichtlich aussichtslos, als die rechtliche Qualifikation des Merkblatts im Zeitpunkt der Beschwerdeerhebung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 und Deutschkenntnisse sowie der nicht als einfach zu qualifizierenden Rechtsfragen ebenfalls zu bejahen. Demnach ist dem Beschwerdeführer die unentgeltliche Rechtsverbeiständung in der Person seiner derzeitigen Vertreterin zu gewähren.</w:t>
      </w:r>
    </w:p>
    <w:p>
      <w:r>
        <w:rPr>
          <w:b/>
        </w:rPr>
        <w:t>E. 7.2.3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7.2.4</w:t>
      </w:r>
    </w:p>
    <w:p>
      <w:r>
        <w:t>Der von der Rechtsvertreterin des Beschwerdeführers geltend gemachte Stundenaufwand von 7,47 Stunden zu Fr. 220.- erscheint vorliegend angemessen. Die Barauslagen in Höhe von Fr. 48.- sind ausgewiesen. Nach dem Gesagten ist die Rechtsvertreterin des Beschwerdeführers wie beantragt für das Beschwerdeverfahren mit Fr. 1'643.40 plus Barauslagen von Fr. 48.- zuzüglich Mehrwertsteuer von 8 % auf den Gesamtbetrag (Fr. 135.30), also mit total Fr. 1'826.70, zu entschädigen.</w:t>
      </w:r>
    </w:p>
    <w:p>
      <w:r>
        <w:rPr>
          <w:b/>
        </w:rPr>
        <w:t>E. 7.2.5</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8</w:t>
      </w:r>
    </w:p>
    <w:p>
      <w:r>
        <w:t>Das vorliegende, einen Zwischenentscheid betreffende Urteil ist ebenfalls ein Zwischenentscheid, der wiederum nur unter den einschränkenden Bedingungen von Art. 93 Abs. 1 BGG angefochten werden kann ( vorn E. 1.2;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