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VB.2017.00568 vom 7. Dezember 2016</w:t>
      </w:r>
    </w:p>
    <w:p>
      <w:r>
        <w:t>ZH Verwaltungsgericht, 2016-12-07, DE</w:t>
      </w:r>
    </w:p>
    <w:p>
      <w:r>
        <w:rPr>
          <w:b/>
        </w:rPr>
        <w:t xml:space="preserve">Quelle: </w:t>
      </w:r>
      <w:r>
        <w:t>https://mcp.opencaselaw.ch/entscheid/zh_verwaltungsgericht__VB.2017.00568</w:t>
      </w:r>
    </w:p>
    <w:p>
      <w:r>
        <w:t>FR: ZH_VERWALTUNGSGERICHT VB.2017.00568 du 7 décembre 2016</w:t>
      </w:r>
    </w:p>
    <w:p>
      <w:r>
        <w:t>IT: ZH_VERWALTUNGSGERICHT VB.2017.00568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der Beschwerdeführer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Die im Merkblatt geregelten Auszahlungsmodalitäten stellen einen Realakt dar. Weder im Merkblatt noch in der Rekursvernehmlassung des Beschwerdegegners liegt eine anfechtbare Anordnung im Sinn von § 19 Abs. 1 VRG (E. 5.1). Nachdem keine anfechtbare Anordnung vorliegt, ist § 25 Abs. 1 VRG nicht anwendbar, da die aufschiebende Wirkung an eine mit Rekurs anfechtbare Anordnung anschliesst (E. 5.2). Eine schwerwiegende Einschränkung des Grundrechts auf Bewegungsfreiheit ist vorliegend nicht zu erkennen, dies legt der Beschwerdeführer denn auch nicht substanziiert dar. Aus diesem Grund sowie aufgrund der negativen Entscheidprognose fällt die Anordnung von vorsorglichen Massnahmen ausser Betracht (E. 5.3). Gewährung UP (E. 6.2). Abweisung der Beschwerde.</w:t>
      </w:r>
    </w:p>
    <w:p>
      <w:pPr>
        <w:pStyle w:val="Heading2"/>
      </w:pPr>
      <w:r>
        <w:t>Erwägungen</w:t>
      </w:r>
    </w:p>
    <w:p>
      <w:r>
        <w:rPr>
          <w:b/>
        </w:rPr>
        <w:t>E. 3</w:t>
      </w:r>
    </w:p>
    <w:p>
      <w:r>
        <w:t>Abteilung VB.2017.00568 Urteil vom 30. November 2017 Mitwirkend: Verwaltungsrichter Rudolf Bodmer, Gerichtsschreiberin Rahel Zehnder. In Sachen A, Notunterkunft C, Beschwerdeführer, gegen Sozialamt des Kantons Zürich, Beschwerdegegner, betreffend Nothilfe (aufschiebende Wirkung/vorsorgliche Massnahmen), hat sich ergeben: I. A. A, geboren 1992, aus dem Land B, reiste am 4. Mai 2015 in die Schweiz ein, wo er gleichentags um Gewährung von Asyl ersuchte. Mit rechtskräftigem Urteil vom 15. Juni 2015 wies das Bundesamt für Migration das Gesuch von A ab und verfügte dessen Wegweisung. B. Am 6. Januar 2017 stellte A ein Mehrfachgesuch, über welches noch nicht rechtskräftig entschieden wurde. Seit dem 4. Oktober 2016 hält sich A in der Notunterkunft (NUK) C auf, wo ihm Nothilfe gewährt wird. Am 1. Februar 2017 unterzeichnete er dort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Am 1. März 2017 erhob A bei der Sicherheitsdirektion des Kantons Zürich Rekurs gegen das Merkblatt und beantragte unter anderem, es sei umgehend festzustellen, dass dem Rekurs die aufschiebende Wirkung zukomme. Eventualiter sei superprovisorisch die aufschiebende Wirkung des Rekurses anzuordnen. Mit Zwischenentscheid vom 31. Juli 2017 trat die Sicherheitsdirektion auf das Gesuch um Feststellung der aufschiebenden Wirkung nicht ein und wies das Gesuch um Erlass vorsorglicher Massnahmen ab, soweit es nicht gegenstandslos geworden war. Der Entscheid in der Hauptsache ist noch ausstehend. III. Dagegen gelangte A am 6. September 2017 mit Beschwerde an das Verwaltungsgericht und beantragte die Aufhebung des Zwischenentscheids vom 31. Juli 2017. Es sei umgehend festzustellen, dass dem Rekurs die aufschiebende Wirkung zukomme. Eventualiter sei superprovisorisch die aufschiebende Wirkung des Rekurses anzuordnen. Dementsprechend sei der Beschwerdegegner im Sinn von vorsorglichen Massnahmen anzuweisen, umgehend und bis zum rechtskräftigen Abschluss des Verfahrens von der zweimal täglich stattfindenden Anwesenheits- und Meldepflicht sowie der Übernachtungspflicht in der NUK C abzusehen und dem Beschwerdeführer umgehend und bis zum rechtskräftigen Abschluss des Verfahrens dreimal pro Woche am Montag, Mittwoch und Freitag jeweils Fr. 20.- für Nahrung, Kleidung und Hygienemittel als Nothilfe in der NUK C auszurichten. Sodann ersuchte er um Gewährung der unentgeltlichen Rechtspflege; alles unter Kosten- und Entschädigungsfolgen zulasten des Beschwerdegegners. Die Sicherheitsdirektion übermittelte am 13. September 2017 die Akten und verzichtete gleichzeitig auf Vernehmlassung. Am 14. September 2017 reichte das Kantonale Sozialamt die Beschwerdeantwort ein und beantragte, auf die Beschwerde sei nicht einzutreten. Eventualiter sei die Beschwerde abzuweisen. In verfahrensrechtlicher Hinsicht sei das Gesuch um Erlass vorsorglicher Massnahmen abzuweisen. Der Beschwerde sei die aufschiebende Wirkung zu entziehen, sollte auf sie eingetreten und eine positive Anordnung erkannt werden. Eventualiter sei festzustellen, dass die aufschiebende Wirkung nur den Auszahlungsmodus (Montag, Mittwoch, Freitag) beschlage; unter Kostenfolgen zulasten des Beschwerdeführers. A liess sich dazu nicht mehr vernehmen.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der Beschwerdeführer im Rekursverfahren die Auszahlungsmodalitäten der Nothilfe. Eine Missachtung der von ihm als rechtswidrig gerügten Auszahlungsmodalitäten hätte zur Folge, dass er keine – im Merkblatt nicht bezifferte – Nothilfegelder erhalten würde. Der Beschwerdeführer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31.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er erleide seit dem 1. Februar 2017 jeden Tag nicht wiedergutzumachende Nachteile rechtlicher und tatsächlicher Natur, wenn er die Anwesenheits- und Meldepflichten wahrnehme oder wenn er sie nicht wahrnehme (keine Auszahlung des Nothilfegeldes). Nehme er die Anwesenheits- und Meldepflichten wahr, habe er einerseits rechtliche Nachteile zu erdulden, indem seine Bewegungsfreiheit morgens, abends und in der Nacht auf die NUK C eingeschränkt werde. Andererseits erleide er tatsächliche Nachteile, indem er jeden Tag wohl mindestens 30 Minuten am Morgen und Abend in der Schlange vor dem Zentrumsbüro stehen müsse. Zudem würden ihm die Möglichkeiten entgehen, sich am Morgen, Abend oder in der Nacht an einem anderen Ort aufzuhalten und anderweitigen Aktivitäten nachzugehen. Erhalte er das Nothilfegeld nicht, erleide er einen nicht wiedergutzumachenden Nachteil, da er sich keine Lebensmittel kaufen könne und hungern müsse.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Gemäss den im Merkblatt vorgeschriebenen Auszahlungsmodalitäten hat der Beschwerdeführer seine Nothilfebedürftigkeit durch seine Präsenz am Morgen und Abend zu bestätigen, ansonsten er das Nothilfegeld nicht ausbezahlt erhält. Dadurch wird der Beschwerdeführer in seiner Bewegungsfreiheit eingeschränkt. Auch wenn sich der Beschwerdeführer täglich in der Notunterkunft aufhalten und gar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des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Entgegen der Ansicht des Beschwerdeführers ändert daran nichts dadurch, dass er ein sogenanntes Mehrfachgesuch nach Art. 111c des Asylgesetzes vom 26. Juni 1998 (AsylG) innert fünf Jahren nach Eintritt des bereits rechtskräftig gewordenen Wegweisungsentscheids gestellt hat, das zwar wiederum bereits abgewiesen wurde, wogegen aber noch ein Rechtsmittel erhoben wurde. Nach Art. 82 Abs. 2 AsylG erhalten Personen mit einem rechtskräftigen Wegweisungsentscheid und Asylsuchende während der Dauer eines ausserordentlichen Rechtsmittelverfahrens oder eines Asylverfahrens nach Art. 111c AsylG auf Ersuchen hin Nothilfe. Dies gilt auch, wenn der Vollzug der Wegweisung ausgesetzt wird. Soweit der Beschwerdeführer aus der blossen Erhebung eines Mehrfachgesuchs bzw. aus dessen noch nicht rechtskräftig erfolgten Beurteilung ableiten will, er habe sich keine Einschnitte in seine Bewegungsfreiheit im Zusammenhang mit der Nothilfe gefallen zu lassen, ist ihm daher nicht zu folgen. Vielmehr hat er sich den Modalitäten zur Ausrichtung der Nothilfe unterzuordnen. Dies ändert aber wiederum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Nachdem auch die übrigen Prozessvoraussetzungen gegeben sind, ist auf die Beschwerde einzutreten. 2. 2.1 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 2.2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3.1</w:t>
      </w:r>
    </w:p>
    <w:p>
      <w:r>
        <w:t>Die Vorinstanz ging im angefochtenen Entscheid davon aus, dass das Merkblatt als Realakt nicht unmittelbar anfechtbar sei und deshalb mangels Anfechtungsobjekts auf den Rekurs nicht einzutreten wäre. Aus prozessökonomischen Gründen rechtfertige es sich aber, die Vernehmlassung des Beschwerdegegners im Rekursverfahren als Anordnung im Sinn von § 10c Abs. 2 VRG entgegenzunehmen und die Eingaben auch als gegen diese gerichtet zu betrachten.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Die geänderten Auszahlungsmodalitäten seien dem Beschwerdeführer ohne Weiteres zumutbar, weshalb das Gesuch um Erlass superprovisorischer Massnahmen abzuweisen sei.</w:t>
      </w:r>
    </w:p>
    <w:p>
      <w:r>
        <w:rPr>
          <w:b/>
        </w:rPr>
        <w:t>E. 3.2</w:t>
      </w:r>
    </w:p>
    <w:p>
      <w:r>
        <w:t>Dagegen wendet der Beschwerdeführer ein, gestützt auf den Zwischenentscheid des Verwaltungsgerichts im Verfahren VB.2017.00299 sei von einer positiven Anordnung des Beschwerdegegners auszugehen. Es sei daher umgehend festzustellen, dass dem Rekurs Nr. 01 die aufschiebende Wirkung zukomme. Dass die Vorinstanz trotz und in Kenntnis des verwaltungsgerichtlichen Zwischenentscheids VB.2017.00299 die Anträge um Feststellung der aufschiebenden Wirkung bzw. Anordnung vorsorglicher Massnahmen abgewiesen habe, könne nur als krass rechtsmissbräuchlich und als eklatante Missachtung des Prinzips der Gewaltenteilung bezeichnet werden. Ferner sei derzeit eine Beschwerde gegen die Abweisung des zweiten Asylgesuchs beim Bundesverwaltungsgericht hängig. Gemäss Zwischenverfügung des Bundesverwaltungsgerichts vom 28. April 2017 könne der Beschwerdeführer den Verfahrensausgang in der Schweiz abwarten. Der Umstand, dass im Falle des Beschwerdeführers – als aufenthaltsberechtigte Person – keine aufschiebende Wirkung erteilt worden sei, sei daher umso stossender. Hinsichtlich des Antrags auf Erlass vorsorglicher Massnahmen macht der Beschwerdeführer geltend, seine Rechte auf Bewegungsfreiheit sowie auf Hilfe in Notlagen würden aufgrund des Merkblatts massiv eingeschränkt. Es bestehe ein ausserordentlich gewichtiges Interesse des Beschwerdeführers am Erlass von vorsorglichen Massnahmen. Dieses überwiege die nicht ersichtlichen öffentlichen Interessen bei Weitem. Dies gelte umso mehr, als nicht im Entferntesten dargetan worden sei, weshalb das bis am 31. Januar 2017 geltende Regime eine zweckkonforme Verwendung der Nothilfegelder beim Beschwerdeführer nicht gewährleisten solle. Die Voraussetzungen für einen Grundrechtseingriff seien nicht gegeben. Es sei auf jeden Fall von grossen tatsächlichen und rechtlichen Unklarheiten auszugehen, womit in Bezug auf eine negative Hauptsachenprognose zumindest allergrösste Zurückhaltung angezeigt sei, soweit nicht von einer positiven Hauptsachenprognose auszugehen sei. Damit seien sämtliche Voraussetzungen für den Erlass von vorsorglichen Massnahmen erfüllt.</w:t>
      </w:r>
    </w:p>
    <w:p>
      <w:r>
        <w:rPr>
          <w:b/>
        </w:rPr>
        <w:t>E. 3.3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Sodann führt der Beschwerdegegner aus, dass in der Rekursvernehmlassung vom 24. März 2017 kein Anfechtungsobjekt zu erkennen sei. Vorliegend habe der Beschwerdeführer den Beschwerdegegner noch nicht einmal um Erlass einer anfechtbaren Verfügung im Sinn von § 10c Abs. 2 VRG ersucht. Die Umdeutung der Vernehmlassung in eine Anordnung nach § 10c Abs. 2 VRG sei auch deshalb unzulässig. Selbst wenn man aber der Vernehmlassung vom 24. März 2017 den Charakter einer Verfügung nach § 10c Abs. 2 VRG zuerkennen wollte, so handle es sich dabei nicht um eine positive Anordnung. Die Abweisung des Antrags um Erlass vorsorglicher Massnahmen durch die Vorinstanz sei zu Recht erfolgt, da weder Dringlichkeit noch ein schwerer nicht wiedergutzumachender Nachteil vorlägen.</w:t>
      </w:r>
    </w:p>
    <w:p>
      <w:r>
        <w:rPr>
          <w:b/>
        </w:rPr>
        <w:t>E. 4</w:t>
      </w:r>
    </w:p>
    <w:p>
      <w:r>
        <w:t>Der Beschwerdeführer beruft sich unter anderem auf den Zwischenentscheid des Verwaltungsgerichts im Verfahren VB.2017.00299. Hierzu ist vorab festzuhalten, dass Zwischenentscheide nicht in materielle Rechtskraft erwachsen.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5.1</w:t>
      </w:r>
    </w:p>
    <w:p>
      <w:r>
        <w:t>Die Frage der aufschiebenden Wirkung sowie der Notwendigkeit von vorsorglichen Massnahmen im Rekurs- bzw. Beschwerdeverfahren lässt sich nicht losgelöst von der Frage des dem vor­instanzlichen Verfahren zugrundeliegenden Anfechtungsobjekts beantworten. Hinzu kommt, dass der Beschwerdegegner das Vorliegen einer anfechtbaren Verfügung bestreitet. Es rechtfertigt sich deshalb, vorab zu prüfen, ob das dem Beschwerdeführer übergebene Merkblatt bzw. die Rekursvernehmlassung des Beschwerdegegners vom 24. März 2017 eine mit Rekurs anfechtbare Verfügung darstellt. Die im Merkblatt enthaltenen Auszahlungsmodalitäten sind auf einen tatsächlichen Erfolg ausgerichtet, indem Nothilfe erhalten soll, wer an den Anwesenheitskontrollen anwesend war,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noch die Rekursvernehmlassung des Beschwerdegegners vom 24. März 2017 eine anfechtbare Verfügung im Sinn von § 19 Abs. 1 VRG dar.</w:t>
      </w:r>
    </w:p>
    <w:p>
      <w:r>
        <w:rPr>
          <w:b/>
        </w:rPr>
        <w:t>E. 5.2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2.1) und eine solche vorliegend nicht besteht (vorn E. 5.1). Dementsprechend ist § 25 Abs. 1 VRG im vorliegenden Fall nicht anwendbar, weshalb das Nichteintreten der Vorinstanz in Dispositivziffer I des angefochtenen Zwischenentscheids im Ergebnis nicht zu beanstanden ist.</w:t>
      </w:r>
    </w:p>
    <w:p>
      <w:r>
        <w:rPr>
          <w:b/>
        </w:rPr>
        <w:t>E. 5.3</w:t>
      </w:r>
    </w:p>
    <w:p>
      <w:r>
        <w:t>Da dem Rekurs keine aufschiebende Wirkung zukommt, stellt sich die Frage, ob die Vorinstanz vorsorgliche Massnahmen hätte anordnen müssen.</w:t>
      </w:r>
    </w:p>
    <w:p>
      <w:r>
        <w:rPr>
          <w:b/>
        </w:rPr>
        <w:t>E. 5.3.1</w:t>
      </w:r>
    </w:p>
    <w:p>
      <w:r>
        <w:t>Die Anordnung von vorsorglichen Massnahmen setzt einen schweren, nicht wiedergutzumachenden Nachteil voraus. Der Beschwerdeführer sieht einen schweren Nachteil in der Einschränkung seiner Bewegungsfreiheit sowie seines Anspruchs auf Hilfe in Notlage. Diesbezüglich ist allerdings zu berücksichtigen, dass sich der Beschwerdeführer als abgewiesener Asylbewerber – über das Mehrfachgesuch ist noch nicht rechtskräftig entschieden (vorn I.B. und E. 1.2) – in einem besonderen Rechtsverhältnis gegenüber den Behörden befindet. Daran ändert nichts, dass der Beschwerdeführer den Ausgang des hängigen Asylverfahrens in der Schweiz abwarten darf. Das Sonderstatusverhältnis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nicht substanziiert dar, inwiefern ihn die zweimal täglich stattfindenden Anwesenheitskontrollen in schwerer Weise in seiner Bewegungsfreiheit einschränken würden, und Solches ist auch nicht zu erkennen. Dabei ist zu bedenken, dass 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Weiter ist der Beschwerdeführer 25 Jahre alt, ledig, ohne Unterhaltspflichten und ohne nachgewiesene gesundheitliche Probleme, weshalb ihm durchaus zumutbar ist, die Nacht in einer Gemeinschaftsunterkunft zu verbringen (vgl. BGE 139 I 272 = Pra 103 [2014] Nr. 54 E. 3.4). Dies umso mehr, als die Nothilfe an den von den Kantonen bezeichneten Orten auszurichten ist (Art. 82 Abs. 4 des Asylgesetzes vom 26. Juni 1998 [AsylG]). Insbesondere erscheint es nicht als schwerer Nachteil, wenn der Beschwerdeführer bei der Anwesenheitskontrolle jeweils eine kurze Wartezeit zu erdulden hat. Soweit erkennbar, hat der Beschwerdeführer sodann die ihm zustehende Nothilfe immer erhalten. Gegenteiliges macht er zumindest nicht geltend. Eine schwerwiegende Beeinträchtigung der Grundrechte auf Bewegungsfreiheit und Hilfe in Notlagen im Sinn einer bedeutenden Einschränkung dieser Grundrechte ist durch die Anwesenheitspflichten zum Bezug der Nothilfe nicht zu erkennen (vgl. dazu VGr, 27. Oktober 2017, VB.2017.00299, E. 5.4 f.).</w:t>
      </w:r>
    </w:p>
    <w:p>
      <w:r>
        <w:rPr>
          <w:b/>
        </w:rPr>
        <w:t>E. 5.3.2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5.1). Dementsprechend ist davon auszugehen, dass die Vorinstanz in der Hauptsache nicht auf den Rekurs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5.3.3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5.4</w:t>
      </w:r>
    </w:p>
    <w:p>
      <w:r>
        <w:t>Zusammengefasst ist die Beschwerde abzuweisen. Mit dem vorliegenden Entscheid erübrigt sich die Anordnung von vorsorglichen Massnahmen durch das Verwaltungsgericht, da solche ohnehin nur bis zum Entscheid Bestand gehabt hätten (vgl. Kiener, § 6 N. 29). Das Gesuch des Beschwerdeführers um Erlass vorsorglicher Massnahmen ist deshalb als gegenstandslos geworden abzuschreiben.</w:t>
      </w:r>
    </w:p>
    <w:p>
      <w:r>
        <w:rPr>
          <w:b/>
        </w:rPr>
        <w:t>E. 6.1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6.2</w:t>
      </w:r>
    </w:p>
    <w:p>
      <w:r>
        <w:t>Zu prüfen bleibt das Gesuch des Beschwerdeführers um Gewährung der unentgeltlichen Rechtspflege für das Beschwerdeverfahren. Wird einzig um unentgeltliche Prozessführung ersucht und weder explizit noch implizit unentgeltliche Verbeiständung beantragt, so ist davon auszugehen, dass die gesuchstellende Person einzig den Erlass der Verfahrenskosten begehrt (Plüss, § 16 N. 113). Vorliegend ist davon auszugehen, dass der Beschwerdeführer lediglich die unentgeltliche Prozessführung beantragt, zumal er nicht darlegt, inwiefern ein Rechtsbeistand notwendig ist. Darüber hinaus war er offensichtlich in der Lage, seine Rechte im Verfahren selbst zu wahren.</w:t>
      </w:r>
    </w:p>
    <w:p>
      <w:r>
        <w:rPr>
          <w:b/>
        </w:rPr>
        <w:t>E. 6.2.1</w:t>
      </w:r>
    </w:p>
    <w:p>
      <w:r>
        <w:t>Gestützt auf § 16 Abs. 1 VRG wird Privaten, denen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6.2.2</w:t>
      </w:r>
    </w:p>
    <w:p>
      <w:r>
        <w:t>Der Beschwerdeführer ist nothilfeabhängig, weshalb von seiner Mittellosigkeit auszugehen ist. Die Beschwerde erschien mindestens insofern nicht als offensichtlich aussichtslos, als die rechtliche Qualifikation des Merkblatts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w:t>
      </w:r>
    </w:p>
    <w:p>
      <w:r>
        <w:rPr>
          <w:b/>
        </w:rPr>
        <w:t>E. 6.2.3</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