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VB.2017.00509 vom 11. Juni 2018</w:t>
      </w:r>
    </w:p>
    <w:p>
      <w:r>
        <w:t>ZH Verwaltungsgericht, 2018-06-11, DE</w:t>
      </w:r>
    </w:p>
    <w:p>
      <w:r>
        <w:rPr>
          <w:b/>
        </w:rPr>
        <w:t xml:space="preserve">Quelle: </w:t>
      </w:r>
      <w:r>
        <w:t>https://mcp.opencaselaw.ch/entscheid/zh_verwaltungsgericht__VB.2017.00509</w:t>
      </w:r>
    </w:p>
    <w:p>
      <w:r>
        <w:t>FR: ZH_VERWALTUNGSGERICHT VB.2017.00509 du 11 juin 2018</w:t>
      </w:r>
    </w:p>
    <w:p>
      <w:r>
        <w:t>IT: ZH_VERWALTUNGSGERICHT VB.2017.00509 del 11 giugno 2018</w:t>
      </w:r>
    </w:p>
    <w:p>
      <w:pPr>
        <w:pStyle w:val="Heading2"/>
      </w:pPr>
      <w:r>
        <w:t>Regeste</w:t>
      </w:r>
    </w:p>
    <w:p>
      <w:r>
        <w:t>Sozialhilfe | Sozialhilfe: Einstellung bzw. Kürzung des Grundbedarfs und des Mietanteils. Die Beschwerdeführerin verweigerte die Teilnahme an der zumutbaren Arbeitsintegration und verstösst so gegen den Grundsatz der Subsidiarität, weshalb nach vorgängiger Kürzung und Androhung eine teilweise Einstellung der Sozialhilfeleistungen im Umfang des nicht erzielten Erwerbseinkommens (Grundbedarf und Mietanteil) zulässig ist (E. 2). Abweisung.</w:t>
      </w:r>
    </w:p>
    <w:p>
      <w:pPr>
        <w:pStyle w:val="Heading2"/>
      </w:pPr>
      <w:r>
        <w:t>Erwägungen</w:t>
      </w:r>
    </w:p>
    <w:p>
      <w:r>
        <w:rPr>
          <w:b/>
        </w:rPr>
        <w:t>E. 3</w:t>
      </w:r>
    </w:p>
    <w:p>
      <w:r>
        <w:t>Bei diesem Ausgang des Verfahrens sind die Gerichtskosten der Beschwerdeführerin aufzuerlegen (§ 65a Abs. 2 in Verbindung mit § 13 Abs. 2 VRG). Der Beschwerdegegnerin steht keine Parteientschädigung zu, weil das Erheben und Beantworten von Rechtsmitteln zu ihren angestammten amtlichen Aufgaben gehört und die Behörden gegenüber den Privaten meist über einen Wissensvorsprung verfügen (RB 2008 Nr. 18 E. 2.3.1; Kaspar Plüss, Kommentar VRG, § 17 N. 51). Vorliegend besteht kein Anlass, von diesem Grundsatz abzuweichen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