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VB.2017.00502 vom 7. Dezember 2016</w:t>
      </w:r>
    </w:p>
    <w:p>
      <w:r>
        <w:t>ZH Verwaltungsgericht, 2016-12-07, DE</w:t>
      </w:r>
    </w:p>
    <w:p>
      <w:r>
        <w:rPr>
          <w:b/>
        </w:rPr>
        <w:t xml:space="preserve">Quelle: </w:t>
      </w:r>
      <w:r>
        <w:t>https://mcp.opencaselaw.ch/entscheid/zh_verwaltungsgericht__VB.2017.00502</w:t>
      </w:r>
    </w:p>
    <w:p>
      <w:r>
        <w:t>FR: ZH_VERWALTUNGSGERICHT VB.2017.00502 du 7 décembre 2016</w:t>
      </w:r>
    </w:p>
    <w:p>
      <w:r>
        <w:t>IT: ZH_VERWALTUNGSGERICHT VB.2017.00502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im Sinn von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der Beschwerdeführer denn auch nicht substanziiert dar. Aus diesem Grund sowie aufgrund der negativen Entscheidprognose fällt die Anordnung von vorsorglichen Massnahmen ausser Betracht (E. 5.3). Gewährung UP/URB (E. 6.2). Abweisung der Beschwerde.</w:t>
      </w:r>
    </w:p>
    <w:p>
      <w:pPr>
        <w:pStyle w:val="Heading2"/>
      </w:pPr>
      <w:r>
        <w:t>Erwägungen</w:t>
      </w:r>
    </w:p>
    <w:p>
      <w:r>
        <w:rPr>
          <w:b/>
        </w:rPr>
        <w:t>E. 3</w:t>
      </w:r>
    </w:p>
    <w:p>
      <w:r>
        <w:t>Abteilung VB.2017.00502 Urteil vom 30. November 2017 Mitwirkend: Verwaltungsrichter Rudolf Bodmer, Gerichtsschreiberin Rahel Zehnder. In Sachen A, c/o NUK F, vertreten durch RA B, dieser substituiert durch MLaw C, Beschwerdeführer, gegen Sozialamt des Kantons Zürich, Beschwerdegegner, betreffend Nothilfe (aufschiebende Wirkung/vorsorgliche Massnahmen), hat sich ergeben: I. A, geboren 1980, aus dem Land E, reiste am 17. Mai 2013 in die Schweiz ein, wo er gleichentags um Gewährung von Asyl ersuchte. Mit rechtskräftigem Urteil vom 18. Juni 2014 wies das Bundesamt für Migration das Gesuch von A ab und verfügte dessen Wegweisung. Seit dem 2. August 2016 hält sich A in der Notunterkunft (NUK) F auf, wo ihm Nothilfe gewährt wurde. Am 1. Februar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28. Februar 2017 erhob A bei der Sicherheitsdirektion des Kantons Zürich Rekurs gegen das Merkblatt bzw. gegen die ihm mündlich mitgeteilte Neuregelung und beantragte unter anderem, es sei festzustellen, dass dem Rekurs die aufschiebende Wirkung zukomme, und der Rekursgegner sei im Sinn einer vorsorglichen Massnahme anzuweisen, für die Dauer des Verfahrens von der verfügten Massnahme Abstand zu nehmen und die Nothilfe im Sinn von Ziffer 3 (d. h. einmal pro Woche, eventualiter dreimal pro Woche am Montag, Mittwoch und Freitag) auszuzahlen. Eventualiter sei die aufschiebende Wirkung herzustellen, und der Rekursgegner sei im Sinn einer vorsorglichen Massnahme anzuweisen, für die Dauer des Verfahrens von der verfügten Massnahme Abstand zu nehmen und die Nothilfe im Sinn von Ziffer 3 auszurichten. Mit Zwischenentscheid vom 31.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4. August 2017 mit Beschwerde an das Verwaltungsgericht und beantragte die Aufhebung des Zwischenentscheids vom 31. Juli 2017. Es sei festzustellen, dass der Rekurs aufschiebende Wirkung habe. Es sei die Vorinstanz anzuweisen, zu veranlassen, dass dem Beschwerdeführer die Nothilfe während der Dauer des Rekursverfahrens wieder einmal pro Woche (Fr. 60.-), eventualiter dreimal pro Woche am Montag, Mittwoch und Freitag (je Fr. 20.-), ausgerichtet werde. Im Sinn einer vorsorglichen Massnahme sei die aufschiebende Wirkung des Rekurses während des vorliegenden Beschwerdeverfahrens herzustellen. Die Vorinstanz sei anzuweisen, zu veranlassen, dass dem Beschwerdeführer die Nothilfe wieder einmal pro Woche (Fr. 60.-), eventualiter dreimal pro Woche am Montag, Mittwoch und Freitag (je Fr. 20.-), ausgerichtet werde. Sodann ersuchte er um Gewährung der unentgeltlichen Prozessführung und unentgeltlichen Rechtsverbeiständung; alles unter Kosten- und Entschädigungsfolgen zulasten der Vor­instanz. Die Sicherheitsdirektion übermittelte am 9. August 2017 die Akten und verzichtete gleichzeitig auf Vernehmlassung. Am 14. August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des Beschwerdeführers. A replizierte am 11. September 2017. Gleichzeitig reichte sein Rechtsvertreter seine Honorarnote ein. Am 27. September 2017 reichte das Kantonale Sozialamt die Duplik ein, worauf sich A nicht mehr vernehmen liess.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angefochtene Zwischenentscheid verursache zweifelsohne einen nicht wiedergutzumachenden Nachteil. Durch das Aufrechterhalten des per 1. Februar 2017 eingeführten Anwesenheits- und Meldezwangs während des Rekursverfahrens werde er täglich in seinen Grundrechten (Bewegungsfreiheit) eingeschränkt. Diese Einschränkung lasse sich auch bei einer Gutheissung des Rekurses nicht wiedergutmachen. Dass vorliegend eine Beschwerde gegen den Zwischenentscheid zulässig sei, ergebe sich denn auch aus dem Urteil des Verwaltungsgerichts Zürich vom 21. Februar 2017 (VB.2017.00104).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Durch die im Merkblatt vorgeschriebenen Auszahlungsmodalitäten hat der Beschwerdeführer seine Nothilfebedürftigkeit durch seine Präsenz am Morgen und Abend zu bestätigen und in der NUK zu übernachten,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Gemäss dem Stammdatenblatt Asyl vom 15. März 2017 befand sich der Beschwerdeführer seit dem 14. März 2017 in Haft. Aus den Eingaben der Parteien geht allerdings hervor, dass sich der Beschwerdeführer derzeit wieder in der NUK F aufhält. Gegenteiliges machen sie nicht geltend. Es ist deshalb davon auszugehen, dass sich der Beschwerdeführer zurzeit in der NUK F aufhält und damit ein aktuelles Rechtsschutzinteresse in der vorliegenden Sache hat. 1.4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Anfechtungsobjekts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dem Beschwerdeführer ohne Weiteres zumutbar, weshalb das Gesuch um Erlass superprovisorischer Massnahmen abzuweisen sei.</w:t>
      </w:r>
    </w:p>
    <w:p>
      <w:r>
        <w:rPr>
          <w:b/>
        </w:rPr>
        <w:t>E. 3.2</w:t>
      </w:r>
    </w:p>
    <w:p>
      <w:r>
        <w:t>Dagegen wendet der Beschwerdeführer ein, gestützt auf den Zwischenentscheid des Verwaltungsgerichts im Verfahren VB.2017.00299 sei von einer positiven Anordnung des Beschwerdegegners auszugehen, weshalb den kantonalen ordentlichen Rechtsmitteln die aufschiebende Wirkung zukomme. Ungeachtet dessen weigere sich die Vorinstanz beharrlich, den Entscheid des Verwaltungsgerichts umzusetzen, was einen an Amtsmissbrauch grenzenden Akt von Rechtsverweigerung und eine Missachtung grundlegendster Prinzipien des Rechtsstaats darstelle. Die Vorinstanz gehe fehl, soweit sie am Rechtsschutzinteresse an der Feststellung der aufschiebenden Wirkung zweifle, nachdem die aufschiebende Wirkung sehr wohl zum Resultat führen müsse, dass die Nothilfe wieder wie vor der per 1. Februar 2017 verfügungsweisen Einführung des Anwesenheits- und Meldezwangs ausgerichtet würde.</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Selbst wenn man aber unterstellen wollte, dass mit dem Merkblatt eine positive Anordnung getroffen worden sei, wäre zu beachten, dass sich der Rekurs des Beschwerdeführers nicht gegen das Merkblatt richte, sondern gegen eine mündliche Orientierung durch Mitarbeitende der D AG. Eine solche mündliche Orientierung habe keinen Verfügungscharakter. Sodann führt der Beschwerdegegner aus, dass in der Rekursvernehmlassung vom 23. März 2017 kein Anfechtungsobjekt zu erkennen sei. Selbst wenn man aber der Vernehmlassung vom 23.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Merkblatt bzw. die Rekursvernehmlassung des Beschwerdegegners vom 23. März 2017 eine mit Rekurs anfechtbare Verfügung darstellt. Die im Merkblatt enthaltenen Auszahlungsmodalitäten sind auf einen tatsächlichen Erfolg ausgerichtet, indem Nothilfe erhalten soll, wer an den Anwesenheitskontrollen anwesend war,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noch die Rekursvernehmlassung des Beschwerdegegners vom 23.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Inwiefern ein schwerer Nachteil besteht, legt der Beschwerdeführer in seiner Beschwerdeschrift nicht dar. Vielmehr verweist er ergänzend auf seine Ausführungen in der Rekursschrift vom 28. Februar 2017 sowie der Replik vom 12. April 2017. Eine pauschale Verweisung auf bereits vor anderen Instanzen Vorgebrachtes genügt als Begründung nicht; hingegen darf ergänzend auf Ausführungen hingewiesen werden, wenn es sich hierbei um einzelne spezifische Punkte handelt und die Verweisung klar erkennen lässt, worauf sie sich bezieht (Alain Griffel, Kommentar VRG, § 23 N. 18 in Verbindung mit § 54 N. 1). Aus der Beschwerde ergibt sich im Zusammenhang mit der Rekursschrift zumindest sinngemäss, dass der Beschwerdeführer einen schweren Nachteil in der Einschränkung seiner Bewegungsfreiheit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zweimal täglich stattfindenden Anwesenheitskontrollen in schwerer Weise in seiner Bewegungsfreiheit einschränken würden, und solches ist auch nicht zu erkennen. Dabei ist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37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Soweit erkennbar, hat der Beschwerdeführer sodann die ihm zustehende Nothilfe immer erhalten. Gegenteiliges macht er zumindest nicht geltend.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5.3.2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auf den Rekurs nicht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6.1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6.2</w:t>
      </w:r>
    </w:p>
    <w:p>
      <w:r>
        <w:t>Zu prüfen bleibt das Gesuch des Beschwerdeführers um Gewährung der unentgeltlichen Prozessführung und der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Der Beschwerdeführer ist nothilfeabhängig, weshalb von seiner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Rechtskenntnisse sowie der nicht als einfach zu qualifizierenden Rechtsfragen ebenfalls zu bejahen. Demnach ist dem Beschwerdeführer die unentgeltliche Rechtsverbeiständung in der Person seines derzeitigen Vertreters zu gewähren.</w:t>
      </w:r>
    </w:p>
    <w:p>
      <w:r>
        <w:rPr>
          <w:b/>
        </w:rPr>
        <w:t>E. 6.2.3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6.2.4</w:t>
      </w:r>
    </w:p>
    <w:p>
      <w:r>
        <w:t>Der Rechtsvertreter des Beschwerdeführers weist in seiner Honorarnote vom 11. September 2017 einen Stundenaufwand von 3,75 h zu Fr. 250.- aus sowie Auslagen in Höhe von Fr. 7.30. Vorab ist festzuhalten, dass der Stundenansatz für einen unentgeltlichen Rechtsbeistand in der Regel Fr. 220.- und nicht Fr. 250.- beträgt (§ 3 AnwGebV in Verbindung mit § 9 Abs. 1 GebV VGr). Ein Grund, davon abzuweichen, besteht vorliegend nicht. Sodann ist der Aufwand für das Studium sowie die Besprechung der angefochtenen Zwischenverfügung im Rekursverfahren geltend zu machen, weshalb der zu entschädigende Stundenaufwand um 0,5 h zu kürzen ist. Im Übrigen erscheint der geltend gemachte Stundenaufwand angemessen. Die Barauslagen sind ausgewiesen. Nach dem Gesagten ist der Rechtsvertreter des Beschwerdeführers für das Beschwerdeverfahren mit Fr. 715.- (3,25 h x Fr. 220.-) plus Barauslagen von Fr. 7.30 zuzüglich Mehrwertsteuer von 8 % auf den Gesamtbetrag (Fr. 57.80), also mit total Fr. 780.10, zu entschädigen.</w:t>
      </w:r>
    </w:p>
    <w:p>
      <w:r>
        <w:rPr>
          <w:b/>
        </w:rPr>
        <w:t>E. 6.2.5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