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VB.2017.00496 vom 18. Januar 2018</w:t>
      </w:r>
    </w:p>
    <w:p>
      <w:r>
        <w:t>ZH Verwaltungsgericht, 2018-01-18, DE</w:t>
      </w:r>
    </w:p>
    <w:p>
      <w:r>
        <w:rPr>
          <w:b/>
        </w:rPr>
        <w:t xml:space="preserve">Quelle: </w:t>
      </w:r>
      <w:r>
        <w:t>https://mcp.opencaselaw.ch/entscheid/zh_verwaltungsgericht__VB.2017.00496</w:t>
      </w:r>
    </w:p>
    <w:p>
      <w:r>
        <w:t>FR: ZH_VERWALTUNGSGERICHT VB.2017.00496 du 18 janvier 2018</w:t>
      </w:r>
    </w:p>
    <w:p>
      <w:r>
        <w:t>IT: ZH_VERWALTUNGSGERICHT VB.2017.00496 del 18 gennaio 2018</w:t>
      </w:r>
    </w:p>
    <w:p>
      <w:pPr>
        <w:pStyle w:val="Heading2"/>
      </w:pPr>
      <w:r>
        <w:t>Regeste</w:t>
      </w:r>
    </w:p>
    <w:p>
      <w:r>
        <w:t>Submission | Erstellung der zentralen Technik bei Eisstadion: Bewertung der Zuschlagskriterien. Dass nicht nur die Anschaffungskosten, sondern auch die längerfristigen wirtschaftlichen Auswirkungen beachtet werden, entspricht zudem den Zielsetzungen des Vergaberechts (Art. 1 Abs. 3 IVöB). Dies stellt allerdings hohe Ansprüche an die Transparenz des Verfahrens, da die Anbieter wissen müssen, worauf sich die Bewertung ihrer Angebote stützen wird. Vorliegend enthielt die Ausschreibung weder zur Lebensdauer noch zu den Energie- und Entsorgungskosten Angaben und wären diese lediglich gestützt auf unsichere Prognosen möglich gewesen. Es war daher vorliegend zulässig, einzig auf die Wartungskosten abzustellen (E. 4.4.2). Da aus den Ausschreibungsunterlagen hervorging, dass für die Berechnung der Wirtschaftlichkeit eine Zeitspanne von mindestens 15 Jahren relevant sein sollte, war es sodann zulässig, der Berechnung diese Dauer zugrunde zu legen (E. 4.4.3). Eine 15jährige Vertragsdauer wäre indessen nach der Rechtsprechung rechtswidrig, doch war eine solche vorliegend nicht Gegenstand der Vergabe (E. 4.4.4). Insgesamt lag damit die Bewertung des Kriteriums LCC trotz knapp gehaltener Vorgaben noch im Ermessensspielraum der Vergabebehörde (E. 4.4.7). Sodann war es vorliegend vertretbar, das Angebot der Mitbeteiligten in den Kriterien "Qualität des Angebots" und "Referenzen" leicht besser zu bewerten (E. 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1.1</w:t>
      </w:r>
    </w:p>
    <w:p>
      <w:r>
        <w:t>Qualität 10 %</w:t>
      </w:r>
    </w:p>
    <w:p>
      <w:r>
        <w:rPr>
          <w:b/>
        </w:rPr>
        <w:t>E. 1.2</w:t>
      </w:r>
    </w:p>
    <w:p>
      <w:r>
        <w:t>Referenzen 20 %</w:t>
      </w:r>
    </w:p>
    <w:p>
      <w:r>
        <w:rPr>
          <w:b/>
        </w:rPr>
        <w:t>E. 1.3</w:t>
      </w:r>
    </w:p>
    <w:p>
      <w:r>
        <w:t>Leistungsfähigkeit 20 % 5,5 110</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der Parteivorbringen zu prüfen (BGE 141 II 14, E. 4.9).</w:t>
      </w:r>
    </w:p>
    <w:p>
      <w:r>
        <w:rPr>
          <w:b/>
        </w:rPr>
        <w:t>E. 2.2</w:t>
      </w:r>
    </w:p>
    <w:p>
      <w:r>
        <w:t>Die gemäss Auswertung zweitplatzierte Beschwerdeführerin rügt verschiedene Unregelmässigkeiten bezüglich des Zuschlagskriteriums "Preis, Life Cycle Cost", welches mit 40 % gewichtet wurde. Ferner bemängelt sie die Bewertung der Qualität und der Referenzen, welche zu 10 bzw. 20 % in das Ergebnis einflossen. Gesamthaft erzielte sie mit ihrem Angebot 564,6 Punkte und liegt damit 10,4 Punkte hinter demjenigen der Mitbeteiligten, welches 575 Punkte erreichte. Erweisen sich die Rügen als berechtigt, hätte ihr Angebot daher eine realistische Chance auf den Zuschlag. Folglich ist ihre Beschwerdelegitimation zu bejahen. Die weiteren Sachurteilsvoraussetzungen sind ebenfalls erfüllt.</w:t>
      </w:r>
    </w:p>
    <w:p>
      <w:r>
        <w:rPr>
          <w:b/>
        </w:rPr>
        <w:t>E. 3.1</w:t>
      </w:r>
    </w:p>
    <w:p>
      <w:r>
        <w:t>In den Ausschreibungsunterlagen hat der Beschwerdegegner folgende Zuschlagskriterien (unter prozentualer Angabe der Gewichtung) festgelegt und den Interessenten bekanntgegeben: Qualität, Referenzen, Leistungsfähigkeit des Unternehmens    50 % Preis, Life Cycle Cost                                                                40 % Ökologie 5 % Lehrlingsausbildung 5 %</w:t>
      </w:r>
    </w:p>
    <w:p>
      <w:r>
        <w:rPr>
          <w:b/>
        </w:rPr>
        <w:t>E. 3.2</w:t>
      </w:r>
    </w:p>
    <w:p>
      <w:r>
        <w:t>Das Ergebnis der Auswertung präsentiert sich bezogen auf die Beschwerdeführerin und die Mitbeteiligte wie folgt: Zuschlagskriterium Gewicht Mitbeteiligte Beschwerdeführerin Note Punkte Note Punkte</w:t>
      </w:r>
    </w:p>
    <w:p>
      <w:r>
        <w:rPr>
          <w:b/>
        </w:rPr>
        <w:t>E. 6</w:t>
      </w:r>
    </w:p>
    <w:p>
      <w:r>
        <w:t>Bei diesem Ausgang des Verfahrens wird die Beschwerdeführerin kostenpflichtig (§ 65a Abs. 2 in Verbindung mit § 13 Abs. 2 Satz 1 VRG). Eine Parteientschädigung steht ihr von vornherein nicht zu (§ 17 Abs. 2 VRG). Auch der Beschwerdegegner hat keinen Anspruch auf Parteientschädigung: Mit der Erstattung der Rechtsschriften ist er im Wesentlichen seiner Begründungspflicht nachgekommen (vgl. § 38 der Submissionsverordnung vom 23. Juli 2003 [SubmV]). Ein besonderer Aufwand im Sinn von § 17 Abs. 2 lit. a VRG ist nicht ersichtlich.</w:t>
      </w:r>
    </w:p>
    <w:p>
      <w:r>
        <w:rPr>
          <w:b/>
        </w:rPr>
        <w:t>E. 7</w:t>
      </w:r>
    </w:p>
    <w:p>
      <w:r>
        <w:t>Der Auftragswert übersteigt den im Staatsvertragsbereich massgeblichen Schwellenwert für Bauwerke nicht (Art. 1 lit. c der Verordnung des WBF vom 22. November 2017 über die Anpassung der Schwellenwerte im öffentlichen Beschaffungswesen für die Jahre 2018 und 2019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