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VB.2017.00417 vom 21. Dezember 2017</w:t>
      </w:r>
    </w:p>
    <w:p>
      <w:r>
        <w:t>ZH Verwaltungsgericht, 2017-12-21, DE</w:t>
      </w:r>
    </w:p>
    <w:p>
      <w:r>
        <w:rPr>
          <w:b/>
        </w:rPr>
        <w:t xml:space="preserve">Quelle: </w:t>
      </w:r>
      <w:r>
        <w:t>https://mcp.opencaselaw.ch/entscheid/zh_verwaltungsgericht__VB.2017.00417</w:t>
      </w:r>
    </w:p>
    <w:p>
      <w:r>
        <w:t>FR: ZH_VERWALTUNGSGERICHT VB.2017.00417 du 21 décembre 2017</w:t>
      </w:r>
    </w:p>
    <w:p>
      <w:r>
        <w:t>IT: ZH_VERWALTUNGSGERICHT VB.2017.00417 del 21 dicembre 2017</w:t>
      </w:r>
    </w:p>
    <w:p>
      <w:pPr>
        <w:pStyle w:val="Heading2"/>
      </w:pPr>
      <w:r>
        <w:t>Regeste</w:t>
      </w:r>
    </w:p>
    <w:p>
      <w:r>
        <w:t>Eingrenzung G-Nr. Gl170112-L/U | Eignung einer Eingrenzung bei Unmöglichkeit der zwangsweisen Ausschaffung; Verhältnismässigkeit. Gemäss der aktuellen bundesgerichtlichen Rechtsprechung besteht auch dann ein grundlegendes rechtsstaatliches Interesse daran, dass rechtskräftige Wegweisungsverfügungen verfolgt werden, wenn ein zwangsweiser Vollzug der Wegweisung nicht möglich ist. Demnach ist die Eingrenzung auch und gerade dann ein legitimes Mittel zur Durchsetzung der rechtskräftigen Ausreiseverfügung, wenn eine zwangsweise Ausschaffung nicht möglich ist. Die Eingrenzung nach Art. 74 Abs. 1 lit. b AuG ist damit erst dann untauglich zur Erreichung ihres Zwecks, wenn sowohl die Ausschaffung als auch die freiwillige Ausreise objektiv unmöglich sind. Folglich kann der Beschwerdeführer aus der Tatsache, dass zwangsweise Ausschaffungen nach Marokko gemäss seinen Ausführungen nicht möglich sind, nichts zu seinen Gunsten ableiten (E. 2.3). Insbesondere mit Blick auf die Straffälligkeit des Beschwerdeführers ist sodann ein überwiegendes öffentliches Interesse an der verfügten Eingrenzung auf die Gemeinde Urdorf zu bejahen (E. 2.7.2). Abweisung.</w:t>
      </w:r>
    </w:p>
    <w:p>
      <w:pPr>
        <w:pStyle w:val="Heading2"/>
      </w:pPr>
      <w:r>
        <w:t>Erwägungen</w:t>
      </w:r>
    </w:p>
    <w:p>
      <w:r>
        <w:rPr>
          <w:b/>
        </w:rPr>
        <w:t>E. 1</w:t>
      </w:r>
    </w:p>
    <w:p>
      <w:r>
        <w:t>Beschwerden betreffend Massnahmen nach Art. 73–78 AuG werden von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auf und verfügt über die für die Befriedigung des Grundbedarfs nötigen Einkaufsgeschäfte sowie weitere Infrastruktureinrichtungen. Sodann besteht für zwingende Reisen ausserhalb des Rayons die Möglichkeit einer Ausnahmebewilligung. Dabei hat die zuständige Behörde auf begründetes Gesuch hin gewisse Reisen grundsätzlich zu bewilligen, soweit die entsprechenden Grundbedürfnisse nicht sachgerecht und grundrechtskonform im bezeichneten Rayon selber abgedeckt werden können (vgl. BGr, 1. April 2016, 2C_830/2015, E. 5.2; BGr, 5. November 2012, 2C_1044, E. 3.3). Zudem ist es dem Beschwerdeführer zuzumuten, seine sozialen Kontakte in der Gemeinde Urdorf oder mittels Einholung einer entsprechenden Ausnahmebewilligung zu pflegen. Das diesbezügliche Interesse des Beschwerdeführers, diese Tätigkeiten ausserhalb der Gemeinde Urdorf bzw. in den Bezirken Dietikon und Zürich ausüben zu können, überwiegt das entgegenstehende öffentliche Interesse jedenfalls nicht. Insgesamt greift die Eingrenzung in räumlicher Hinsicht zwar erheblich in die persönliche Freiheit des Beschwerdeführers ein; die diesbezüglichen beschwerdeführerischen Ausführungen, wonach ihm nur sehr wenige Möglichkeiten zur Verfügung stünden, um einen sinnvollen Tagesablauf zu gestalten, sind durchaus nachvollziehbar. Dennoch ist – insbesondere mit Blick auf seine Straffälligkeit – ein überwiegendes öffentliches Interesse an der verfügten Eingrenzung auf die Gemeinde Urdorf zu bejahen (vgl. VGr, 27. Februar 2017, VB.2016.00689, E. 2.6.4). Demnach ist auch der beschwerdeführerische Eventualantrag betreffend die Erweiterung des Rayons ebenfalls abzulehnen .</w:t>
      </w:r>
    </w:p>
    <w:p>
      <w:r>
        <w:rPr>
          <w:b/>
        </w:rPr>
        <w:t>E. 2.1</w:t>
      </w:r>
    </w:p>
    <w:p>
      <w:r>
        <w:t>Gemäss Art. 74 Abs. 1 lit. b AuG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 Die gesetzliche Grundlage ist vorliegend gegeben: Der Beschwerdeführer ist marokkanischer Staatsangehöriger und stellte am 2. Februar 2016 in der Schweiz ein Asylgesuch. Mit Verfügung vom 14. Juni 2016 hielt das Staatssekretariat für Migration (SEM) fest, dass der Beschwerdeführer die Flüchtlingseigenschaft nicht erfülle, lehnte sein Asylgesuch ab und wies ihn an, die Schweiz bis am 9. August 2016 zu verlassen. Am 2. August 2016 verfügte das Migrationsamt, dass der Beschwerdeführer auf das Gebiet der Gemeinde Embrach eingegrenzt werde. Mit Urteil vom 16. August 2016 wies das Bundesverwaltungsgericht eine gegen den negativen Asylentscheid gerichtete Beschwerde ab. In der Folge wurde die Ausreisefrist neu bis zum 14. September 2016 angesetzt. Am 3. April 2017 wurde der Beschwerdeführer schliesslich auf die Gemeinde Urdorf eingegrenzt. Hiergegen richtet sich die vorliegende Beschwerde.</w:t>
      </w:r>
    </w:p>
    <w:p>
      <w:r>
        <w:rPr>
          <w:b/>
        </w:rPr>
        <w:t>E. 2.2</w:t>
      </w:r>
    </w:p>
    <w:p>
      <w:r>
        <w:t>Zweck der Eingrenzung nach Art. 74 Abs. 1 lit. b AuG ist es, den Verbleib der ausländischen Person zu kontrollieren, sowie ihre Verfügbarkeit für die Vorbereitung und Durchführung der Ausschaffung sicherzustellen (vgl. Andreas Zünd, in: Marc Spescha/Hanspeter Thür/Andreas Zünd/Peter Bolzli/Constantin Hruschka, Kommentar Migrationsrecht, 4. A., Zürich 2015, Art. 74 AuG N. 5). Da die Eingrenzung ein milderes Mittel zum ausländerrechtlich begründeten Freiheitsentzug darstellt, darf sie wie diese eine gewisse Druckwirkung zur Durchsetzung der Ausreisepflicht entfalten. Sie kann daher ebenfalls dazu dienen, die spontane Ausreise der ausländischen Person zu fördern (BGr, 13. November 2017, 2C_287/2017, E. 4.2 f. [zur Publikation vorgesehen]).</w:t>
      </w:r>
    </w:p>
    <w:p>
      <w:r>
        <w:rPr>
          <w:b/>
        </w:rPr>
        <w:t>E. 2.3</w:t>
      </w:r>
    </w:p>
    <w:p>
      <w:r>
        <w:t>Gemäss der aktuellen bundesgerichtlichen Rechtsprechung besteht auch dann ein grundlegendes rechtsstaatliches Interesse daran, dass rechtskräftige Wegweisungsverfügungen verfolgt werden, wenn ein zwangsweiser Vollzug der Wegweisung nicht möglich ist. Demnach ist die Eingrenzung auch und gerade dann ein legitimes Mittel zur Durchsetzung der rechtskräftigen Ausreiseverfügung, wenn eine zwangsweise Ausschaffung nicht möglich ist. Die Eingrenzung nach Art. 74 Abs. 1 lit. b AuG ist damit erst dann untauglich zur Erreichung ihres Zwecks, wenn sowohl die Ausschaffung als auch die freiwillige Ausreise objektiv unmöglich sind (BGr, 13. November 2017, 2C_287/2017, E. 4.7.2 und 4.8 [zur Publikation vorgesehen]). Folglich kann der Beschwerdeführer aus der Tatsache, dass zwangsweise Ausschaffungen nach Marokko gemäss seinen Ausführungen nicht möglich sind, nichts zu seinen Gunsten ableiten, weshalb hierauf nicht weiter einzugehen ist.</w:t>
      </w:r>
    </w:p>
    <w:p>
      <w:r>
        <w:rPr>
          <w:b/>
        </w:rPr>
        <w:t>E. 2.4</w:t>
      </w:r>
    </w:p>
    <w:p>
      <w:r>
        <w:t>Überdies ist das öffentliche Interesse an der Eingrenzung selbst dann zu bejahen, wenn eine Person – wie der Beschwerdeführer für sich geltend macht – bisher nie untergetaucht ist und sich den Behörden stets zur Verfügung gehalten hat. Ist die Ausreisefrist abgelaufen, setzt die Anordnung einer Eingrenzung mithin nicht voraus, dass Flucht- oder Untertauchensgefahr besteht (vgl. BGr, 13. November 2017, 2C_287/2017, E. 4.5.2 [zur Publikation vorgesehen]; VGr, 27. März 2017, VB.2017.00026, E. 2.2).</w:t>
      </w:r>
    </w:p>
    <w:p>
      <w:r>
        <w:rPr>
          <w:b/>
        </w:rPr>
        <w:t>E. 2.5</w:t>
      </w:r>
    </w:p>
    <w:p>
      <w:r>
        <w:t>Der Beschwerdeführer bringt vor, die Eingrenzung sei nicht erforderlich, da aufgrund des geltenden Nothilferegimes bereits heute eine faktische Meldepflicht bestehe. Dem kann nicht gefolgt werden. Es entspricht der verwaltungsgerichtlichen Rechtsprechung, dass Meldepflichten grundsätzlich keine geeigneten Ersatzmassnahmen für Eingrenzungen darstellen (VGr, 13. Oktober 2016, VB.2016.00538, E. 4; 24. Oktober 2017, VB.2017.00033, E. 2.4.3 – ebenfalls betreffend die Notunterkunft Urdorf). Bei der Präsenzkontrolle handelt es sich denn auch nicht um eine ausländerrechtliche Zwangsmassnahme (VGr, 27. Februar 2017, VB.2017.00131, E. 3.2).</w:t>
      </w:r>
    </w:p>
    <w:p>
      <w:r>
        <w:rPr>
          <w:b/>
        </w:rPr>
        <w:t>E. 2.6</w:t>
      </w:r>
    </w:p>
    <w:p>
      <w:r>
        <w:t>Der Beschwerdeführer kritisiert sodann das Argument der Beschwerdegegnerin, wonach mit der Anordnung der Eingrenzung im Vergleich zur Haft bereits ein milderes Mittel gewählt worden sei. Er stellt sich auf den Standpunkt, dass bei Fehlen der notwendigen Haftgründe keine Ausschaffungshaft angeordnet werden könne und die Eingrenzung damit auch nicht als milderes Mittel hierzu angesehen werden könne. Vorliegend sei kein Haftgrund ersichtlich. Er verkennt dabei, dass das Bundesgericht selber die Eingrenzung als "mildere Massnahme" zur ausländerrechtlichen Haft bezeichnet und sich die Stellung der Eingrenzung im kaskadenartigen System der Vollzugsmassnahmen gemäss der bundesgerichtlichen Rechtsprechung gerade darin zeigt, dass b ei Unzulässigkeit oder Unverhältnismässigkeit der Haft immerhin eine Ein- oder Ausgrenzung infrage kommt (BGE 142 II 1 E. 2.2). Folglich kann der Beschwerdeführer aus der Tatsache, dass seiner Ansicht nach kein (Ausschaffungs-)Haftgrund gegeben ist, von vornherein nichts zu seinen Gunsten ableiten.</w:t>
      </w:r>
    </w:p>
    <w:p>
      <w:r>
        <w:rPr>
          <w:b/>
        </w:rPr>
        <w:t>E. 2.7</w:t>
      </w:r>
    </w:p>
    <w:p>
      <w:r>
        <w:t>Schliesslich ist zu prüfen, ob das öffentliche Interesse an der Eingrenzung das gegenteilige Interesse des Beschwerdeführers an der Aufhebung der Massnahme überwiegt. Die Eingrenzung darf nicht über das Erforderliche hinausgehen, was insbesondere bei der Festlegung der Grösse des Rayons und der Dauer der Eingrenzung zu berücksichtigen ist. Mit anderen Worten haben Zweck und Mittel in einem vernünftigen Verhältnis zueinander zu stehen (VGr, 13. Oktober 2016, VB.2016.00538, E. 3.4 mit Hinweisen).</w:t>
      </w:r>
    </w:p>
    <w:p>
      <w:r>
        <w:rPr>
          <w:b/>
        </w:rPr>
        <w:t>E. 2.7.1</w:t>
      </w:r>
    </w:p>
    <w:p>
      <w:r>
        <w:t>Vorliegend fällt ins Gewicht, dass der Beschwerdeführer in der Schweiz mehrfach straffällig wurde. So wurde er mit Strafbefehl des Staatsanwaltschaft See/Oberland wegen versuchter Nötigung mit einer bedingten Geldstrafe von 40 Tagessätzen zu je Fr. 30.-bestraft. Ausserdem erkannte das Bezirksgericht Bülach den Beschwerdeführer am 7. März 2017 des gewerbsmässigen betrügerischen Missbrauchs einer Datenverarbeitungsanlage im Sinn von Art. 147 Abs. 1 in Verbindung mit Abs. 2 StGB sowie der rechtswidrigen Einreise schuldig und bestrafte ihn mit einer unbedingten Freiheitsstrafe von 10 Monaten. Damit besteht ein erhebliches öffentliches Interesse an der Eingrenzung des Beschwerdeführers.</w:t>
      </w:r>
    </w:p>
    <w:p>
      <w:r>
        <w:rPr>
          <w:b/>
        </w:rPr>
        <w:t>E. 2.7.2</w:t>
      </w:r>
    </w:p>
    <w:p>
      <w:r>
        <w:t>Die Gemeinde Urdorf weist eine Fläche 7,62 km</w:t>
      </w:r>
    </w:p>
    <w:p>
      <w:r>
        <w:rPr>
          <w:b/>
        </w:rPr>
        <w:t>E. 2.7.3</w:t>
      </w:r>
    </w:p>
    <w:p>
      <w:r>
        <w:t>Insgesamt erweist sich die verfügte Eingrenzung damit als verhältnismässig. Die Beschwerde ist folglich abzuweisen.</w:t>
      </w:r>
    </w:p>
    <w:p>
      <w:r>
        <w:rPr>
          <w:b/>
        </w:rPr>
        <w:t>E. 3</w:t>
      </w:r>
    </w:p>
    <w:p>
      <w:r>
        <w:t>Mit dem vorliegenden Endentscheid wird das Begehren des Beschwerdeführers um Gewährung der aufschiebenden Wirkung gegenstandslos.</w:t>
      </w:r>
    </w:p>
    <w:p>
      <w:r>
        <w:rPr>
          <w:b/>
        </w:rPr>
        <w:t>E. 4.1</w:t>
      </w:r>
    </w:p>
    <w:p>
      <w:r>
        <w:t>Bei diesem Ausgang des Verfahrens wird der Beschwerdeführer grundsätzlich kostenpflichtig (§ 13 Abs. 2 Satz 1 in Verbindung mit § 70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w:t>
      </w:r>
    </w:p>
    <w:p>
      <w:r>
        <w:rPr>
          <w:b/>
        </w:rPr>
        <w:t>E. 4.2</w:t>
      </w:r>
    </w:p>
    <w:p>
      <w:r>
        <w:t>Zu prüfen bleibt das Gesuch des Beschwerdeführers um Bestellung einer unentgeltlichen Rechtsbeiständin. Gemäss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aussichtslos. In Anbetracht der nicht einfachen Fragestellungen war der Beschwerdeführer zur Geltendmachung seiner Ansprüche auf eine Rechtsvertretung angewiesen (vgl. Kaspar Plüss in: Griffel [Hrsg.], Kommentar zum Verwaltungsrechtspflegegesetz des Kantons Zürich, 3. A., Zürich etc. 2014, § 16 N. 80 f.). Dem Gesuch um unentgeltliche Rechtsverbeiständung ist daher zu entsprechen und dem Beschwerdeführer antragsgemäss Rechtsanwältin B als unentgeltliche Rechtsvertreterin zu bestellen. Der Rechtsvertreterin ist Frist zur Einreichung der Honorarnote anzusetzen.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