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VB.2017.00321 vom 21. Juni 2018</w:t>
      </w:r>
    </w:p>
    <w:p>
      <w:r>
        <w:t>ZH Verwaltungsgericht, 2018-06-21, DE</w:t>
      </w:r>
    </w:p>
    <w:p>
      <w:r>
        <w:rPr>
          <w:b/>
        </w:rPr>
        <w:t xml:space="preserve">Quelle: </w:t>
      </w:r>
      <w:r>
        <w:t>https://mcp.opencaselaw.ch/entscheid/zh_verwaltungsgericht__VB.2017.00321</w:t>
      </w:r>
    </w:p>
    <w:p>
      <w:r>
        <w:t>FR: ZH_VERWALTUNGSGERICHT VB.2017.00321 du 21 juin 2018</w:t>
      </w:r>
    </w:p>
    <w:p>
      <w:r>
        <w:t>IT: ZH_VERWALTUNGSGERICHT VB.2017.00321 del 21 giugno 2018</w:t>
      </w:r>
    </w:p>
    <w:p>
      <w:pPr>
        <w:pStyle w:val="Heading2"/>
      </w:pPr>
      <w:r>
        <w:t>Regeste</w:t>
      </w:r>
    </w:p>
    <w:p>
      <w:r>
        <w:t>Sozialhilfe | Sozialhilfe: Rückerstattungsverpflichtung nach Erbschaft. Nach Abzug des zur Rückerstattung geforderten Betrags verbleibt der Beschwerdeführerin von der Erbschaft ein Betrag, welcher weit über dem zu gewährenden Freibetrag liegt. Dass die Beschwerdeführerin von diesem Vermögen lebt und sie beabsichtigt, Wohneigentum zu erwerben, stellt die Verhältnismässigkeit der Rückforderung nicht infrage (E. 2). Abweisung.</w:t>
      </w:r>
    </w:p>
    <w:p>
      <w:pPr>
        <w:pStyle w:val="Heading2"/>
      </w:pPr>
      <w:r>
        <w:t>Erwägungen</w:t>
      </w:r>
    </w:p>
    <w:p>
      <w:r>
        <w:rPr>
          <w:b/>
        </w:rPr>
        <w:t>E. 3</w:t>
      </w:r>
    </w:p>
    <w:p>
      <w:r>
        <w:t>Ausgangsgemäss sind die Verfahrenskosten der unterliegenden Beschwerdeführerin aufzuerlegen (§ 13 Abs. 2 Satz 1 in Verbindung mit § 65a Abs. 1 VRG). Eine Parteientschädigung hat sie nicht beantragt; eine solche würde ihr auch deshalb nicht zustehen, weil sie unterliegt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