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VB.2017.00278 vom 19. Mai 2011</w:t>
      </w:r>
    </w:p>
    <w:p>
      <w:r>
        <w:t>ZH Verwaltungsgericht, 2011-05-19, DE</w:t>
      </w:r>
    </w:p>
    <w:p>
      <w:r>
        <w:rPr>
          <w:b/>
        </w:rPr>
        <w:t xml:space="preserve">Quelle: </w:t>
      </w:r>
      <w:r>
        <w:t>https://mcp.opencaselaw.ch/entscheid/zh_verwaltungsgericht__VB.2017.00278</w:t>
      </w:r>
    </w:p>
    <w:p>
      <w:r>
        <w:t>FR: ZH_VERWALTUNGSGERICHT VB.2017.00278 du 19 mai 2011</w:t>
      </w:r>
    </w:p>
    <w:p>
      <w:r>
        <w:t>IT: ZH_VERWALTUNGSGERICHT VB.2017.00278 del 19 maggio 2011</w:t>
      </w:r>
    </w:p>
    <w:p>
      <w:pPr>
        <w:pStyle w:val="Heading2"/>
      </w:pPr>
      <w:r>
        <w:t>Regeste</w:t>
      </w:r>
    </w:p>
    <w:p>
      <w:r>
        <w:t>Modulprüfung Privatrecht I | [Modulprüfung, Krankheit, Abmeldefrist] Der Beschwerdeführer will während der streitgegenständlichen Prüfung an einer Grippe gelitten haben. Er hat die Frist, um einen solchen Verhinderungsgrund geltend zu machen, klar verpasst. Weil seine Säumnis auf eine grobe Nachlässigkeit zurückzuführen ist und das sinngemässe Wiederherstellungsgesuch zu spät gestellt wurde, ist die Frist nicht wiederherzustellen (E. 2). Abweisung.</w:t>
      </w:r>
    </w:p>
    <w:p>
      <w:pPr>
        <w:pStyle w:val="Heading2"/>
      </w:pPr>
      <w:r>
        <w:t>Erwägungen</w:t>
      </w:r>
    </w:p>
    <w:p>
      <w:r>
        <w:rPr>
          <w:b/>
        </w:rPr>
        <w:t>E. 4</w:t>
      </w:r>
    </w:p>
    <w:p>
      <w:r>
        <w:t>Ausgangsgemäss sind die Gerichtskosten dem Beschwerdeführer aufzuerlegen und ist diesem keine Parteientschädigung zuzusprechen (§ 65a Abs. 2 in Verbindung mit § 13 Abs. 2 Satz 1 und § 17 Abs. 2 VRG).</w:t>
      </w:r>
    </w:p>
    <w:p>
      <w:r>
        <w:rPr>
          <w:b/>
        </w:rPr>
        <w:t>E. 5</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erhoben,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