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VB.2017.00254 vom 23. August 2017</w:t>
      </w:r>
    </w:p>
    <w:p>
      <w:r>
        <w:t>ZH Verwaltungsgericht, 2017-08-23, DE</w:t>
      </w:r>
    </w:p>
    <w:p>
      <w:r>
        <w:rPr>
          <w:b/>
        </w:rPr>
        <w:t xml:space="preserve">Quelle: </w:t>
      </w:r>
      <w:r>
        <w:t>https://mcp.opencaselaw.ch/entscheid/zh_verwaltungsgericht__VB.2017.00254</w:t>
      </w:r>
    </w:p>
    <w:p>
      <w:r>
        <w:t>FR: ZH_VERWALTUNGSGERICHT VB.2017.00254 du 23 août 2017</w:t>
      </w:r>
    </w:p>
    <w:p>
      <w:r>
        <w:t>IT: ZH_VERWALTUNGSGERICHT VB.2017.00254 del 23 agosto 2017</w:t>
      </w:r>
    </w:p>
    <w:p>
      <w:pPr>
        <w:pStyle w:val="Heading2"/>
      </w:pPr>
      <w:r>
        <w:t>Regeste</w:t>
      </w:r>
    </w:p>
    <w:p>
      <w:r>
        <w:t>Aufenthaltsbewilligung | Nachehelicher Aufenthaltsanspruch. Ist die Dreijahresfrist erfüllt? Zur Feststellung des Erlöschens des Ehewillens stellt die Vorinstanz auf die schriftliche Auskunft der vormaligen Ehefrau des Bf ab. Mangels persönlicher Befragung der vormaligen Ehefrau bleibt aber im Dunkeln, wie diese sich zu den vom BF angeführten weiteren Umständen stellt (Geschenke zum dritten Hochzeitstag und zum Valentinstag; Kennenlernen des neuen Ehemannes bei Ferienaufenthalten). Die schriftliche Auskunft der vormaligen Ehefrau besteht zudem aus wenigen Worten, ist nicht in einen weiteren Zusammenhang von Aussagen eingebettet und es fehlt an jeder weiteren Schilderung der Umstände, welche zum Erlöschen ihres Ehewillens geführt haben. Die Sache ist zur ergänzenden Untersuchung und zur Befragung der vormaligen Ehefrau an die Vorinstanz zurückzuweisen (E. 2.2). Teilweise Gutheissung.</w:t>
      </w:r>
    </w:p>
    <w:p>
      <w:pPr>
        <w:pStyle w:val="Heading2"/>
      </w:pPr>
      <w:r>
        <w:t>Erwägungen</w:t>
      </w:r>
    </w:p>
    <w:p>
      <w:r>
        <w:rPr>
          <w:b/>
        </w:rPr>
        <w:t>E. 3.1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E. 4.1).</w:t>
      </w:r>
    </w:p>
    <w:p>
      <w:r>
        <w:rPr>
          <w:b/>
        </w:rPr>
        <w:t>E. 3.2</w:t>
      </w:r>
    </w:p>
    <w:p>
      <w:r>
        <w:t>Entsprechend sind die Kosten des vorliegenden Verfahrens dem unterliegenden Beschwerdegegner aufzuerlegen und dem anwaltlich vertretenen Beschwerdeführer ist eine angemessene Parteientschädigung zuzusprechen (§ 65a Abs. 2 in Verbindung mit § 13 Abs. 2 Satz 1 VRG sowie § 17 Abs. 2 lit. a VRG).</w:t>
      </w:r>
    </w:p>
    <w:p>
      <w:r>
        <w:rPr>
          <w:b/>
        </w:rPr>
        <w:t>E. 3.3</w:t>
      </w:r>
    </w:p>
    <w:p>
      <w:r>
        <w:t>Das Gesuch des Beschwerdeführers um Bewilligung der unentgeltlichen Prozessführung und Bestellung eines unentgeltlichen Rechtsbeistands ist mit Verfügung des Abteilungspräsidenten vom 17. Mai 2017 mangels Mittellosigkeit abgewiesen worden, weswegen hierzu nichts mehr auszuführen ist. Die vom Beschwerdeführer geleistete Kaution ist dem zentralen Inkasso des Obergerichts zur Verrechnung mit (allenfalls) noch offenen Schulden aus früheren Verfahren zu überweisen (vgl. Ziff. 1 Abs. 3 der Präsidialverfügung vom 21. April 2017).</w:t>
      </w:r>
    </w:p>
    <w:p>
      <w:r>
        <w:rPr>
          <w:b/>
        </w:rPr>
        <w:t>E. 3.4</w:t>
      </w:r>
    </w:p>
    <w:p>
      <w:r>
        <w:t>Über die Kosten- und Entschädigungsfolgen des Rekursverfahrens hat die Vorinstanz im Neuentscheid zu befinden.</w:t>
      </w:r>
    </w:p>
    <w:p>
      <w:r>
        <w:rPr>
          <w:b/>
        </w:rPr>
        <w:t>E. 4</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