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VB.2017.00189 vom 23. August 2017</w:t>
      </w:r>
    </w:p>
    <w:p>
      <w:r>
        <w:t>ZH Verwaltungsgericht, 2017-08-23, DE</w:t>
      </w:r>
    </w:p>
    <w:p>
      <w:r>
        <w:rPr>
          <w:b/>
        </w:rPr>
        <w:t xml:space="preserve">Quelle: </w:t>
      </w:r>
      <w:r>
        <w:t>https://mcp.opencaselaw.ch/entscheid/zh_verwaltungsgericht__VB.2017.00189</w:t>
      </w:r>
    </w:p>
    <w:p>
      <w:r>
        <w:t>FR: ZH_VERWALTUNGSGERICHT VB.2017.00189 du 23 août 2017</w:t>
      </w:r>
    </w:p>
    <w:p>
      <w:r>
        <w:t>IT: ZH_VERWALTUNGSGERICHT VB.2017.00189 del 23 agosto 2017</w:t>
      </w:r>
    </w:p>
    <w:p>
      <w:pPr>
        <w:pStyle w:val="Heading2"/>
      </w:pPr>
      <w:r>
        <w:t>Regeste</w:t>
      </w:r>
    </w:p>
    <w:p>
      <w:r>
        <w:t>Sonntagsöffnung | [Die Beschwerdeführerin ersucht um Feststellung, dass sie in ihrem Spar-Supermarkt am Bahnhof Esslingen auch sonntags ohne Bewilligung Arbeitnehmende beschäftigen könne, sofern sie an diesen Tagen hinsichtlich Grösse der zugänglichen Verkaufsfläche sowie Warenangebot die Vorgaben einhalte, welche ein Reisebedürfnisbetrieb gemäss Art. 26 ArGV 2 erfüllen müsse.] Gemäss Art. 26 Abs. 2 und 4 ArGV 2 darf in Kiosken und Betrieben für Reisende das für die Bedienung der Durchreisenden erforderliche Personal - in Abweichung vom gesetzlichen Grundsatz des Verbots der Sonntagsarbeit - ohne behördliche Bewilligung ganz oder teilweise am Sonntag beschäftigt werden (E. 3.1). Diese Sonderbestimmung bezweckt, die spezifischen Grundbedürfnisse von Reisenden an Orten zu bedienen, an denen auch ausserhalb des gesetzlichen Arbeitszeitrahmens eine entsprechende, durch die Reisetätigkeit begründete Nachfrage des Publikums besteht (E. 3.2). Dem Normzweck entsprechend hat sich der fragliche Betrieb daher als Ganzes, das heisst nicht nur in Bezug auf seine flächenmässige Ausgestaltung und sein Angebot, sondern auch bezüglich seines konkreten Standorts an den zu befriedigenden Bedürfnissen der am Bahnhof verkehrenden Reisenden zu orientieren (E. 5.2 Abs. 1). Angesichts der nur mässigen verkehrstechnischen Bedeutung des Bahnhofs Esslingen rechtfertigt es sich vorliegend, an die Voraussetzungen nach Art. 26 Abs. 4 ArGV 2 einen engen Massstab anzulegen; es ist daher nicht zu beanstanden, wenn die Vorinstanz dafürhält, die betreffende Spar-Filiale bilde aufgrund ihres Standorts auf der gegenüberliegenden Strassenseite in rund 60 m Entfernung vom Gleiskopf des Bahnhofs Esslingen weder eine räumliche noch eine funktionale Einheit mit Letzterem, sodass sie nicht vom Geltungsbereich des Art. 26 Abs. 4 ArGV 2 erfasst werde (E. 5. 2 Abs. 2 f.). Ob das Ergebnis anders ausfiele, wenn bei der unter Art. 26 Abs. 2 und 4 ArGV 2 anzustellenden Gesamtbetrachtung zumindest das Ladenkonzept derBeschwerdeführerin einheitsstiftend wirkte, indem es erkennbar auf das Verkehrs- und Publikumsaufkommen am Bahnhof Esslingen und die Bedürfnisse der Reisenden ausgerichtet wäre, braucht nicht beurteilt zu werden, erscheint die Frage doch – zumindest derzeit – rein hypothetischer Natur (E. 5.3). Die Voraussetzungen für einen Anspruch auf Gleichbehandlung im Unrecht sind nicht erfüllt (E. 5.4). Abweisung.</w:t>
      </w:r>
    </w:p>
    <w:p>
      <w:pPr>
        <w:pStyle w:val="Heading2"/>
      </w:pPr>
      <w:r>
        <w:t>Erwägungen</w:t>
      </w:r>
    </w:p>
    <w:p>
      <w:r>
        <w:rPr>
          <w:b/>
        </w:rPr>
        <w:t>E. 4</w:t>
      </w:r>
    </w:p>
    <w:p>
      <w:r>
        <w:t>Vorliegend ist unbestritten, dass das Warensortiment des streitgegenständlichen Spar-Supermarkts der Beschwerdeführerin (Vollsortiment) nicht nur den Rahmen von Art. 26 Abs. 3 ArGV 2 für Kioske sprengt, sondern in betrieblicher Hinsicht deutlich auch jenen von Art. 26 Abs. 4 ArGV 2. Die Beschwerdeführerin macht indes geltend, entgegen dem Beschwerdegegner und der Vor­instanz erfülle das Detailhandelsgeschäft zumindest die örtlichen bzw. sachlichen Voraussetzungen des Art. 26 Abs. 4 ArGV 2, was festzustellen sei, damit das Ladenlokal so eingerichtet bzw. umgebaut werden könne, dass die Voraussetzungen der genannten Verordnungsbestimmung sonntags künftig auch in betrieblicher Hinsicht gegeben seien. Im Hinblick auf die zu treffenden Dispositionen kommt der Beschwerdeführerin grundsätzlich ein aktuelles Interesse an der sofortigen Klärung dieser (Rechts-)Frage zu, weshalb die Vorinstanz auf das diesbezügliche Feststellungsbegehren der Beschwerdeführerin zu Recht eingetreten ist (v gl. Regina Kiener/Bernhard Rütsche/Mathias Kuhn, Öffentliches Verfahrensrecht, 2. A. Zürich/St. Gallen 2015, Rz. 390 ff.; Michael Merker, Rechtsmittel, Klage und Normenkontrollverfahren nach dem aargauischen Gesetz über die Verwaltungsrechtspflege [VRPG] vom 9. Juli 1968, Zürich 1998, § 38 Rz. 24 ff.).</w:t>
      </w:r>
    </w:p>
    <w:p>
      <w:r>
        <w:rPr>
          <w:b/>
        </w:rPr>
        <w:t>E. 5.1</w:t>
      </w:r>
    </w:p>
    <w:p>
      <w:r>
        <w:t>Beim Bahnhof Esslingen handelt es sich um einen Kopfbahnhof mit drei Gleisen. Zwischen dem nordöstlichen Gleis und den beiden südwestlichen Gleisen verläuft ein Perron. Am Gleiskopf befinden sich ein kleines Betriebsgebäude, eine Toilettenanlage sowie ein Mobility-Stellplatz. Die ganze Anlage ist überdacht. Westlich, östlich sowie am Gleiskopf grenzt das Bahnhofareal an die Forchstrasse. In östlicher Richtung befinden sich auf der anderen Strassenseite neben einer überdachten Bushaltestelle die ehemalige Poststelle Esslingen sowie ein Taxiabstellplatz (vgl. zum Ganzen www.maps.zh.ch). Im Bahnhof verkehren eine meterspurige S-Bahnlinie in Richtung Bahnhof Stadelhofen (S 18, "Forchbahn") sowie eine Buslinie in Richtung Oetwil am See bzw. Uster (Linie 842). Gemäss einer von den SBB im Auftrag des Zürcher Verkehrsverbunds im Fahrplanjahr 2012 durchgeführten statistischen Auswertung der durchschnittlichen Anzahl Ein- und Aussteiger an den insgesamt 164 S-Bahnhöfen im Kanton Zürich wies der Bahnhof Esslingen an Werktagen pro Tag durchschnittlich 1'519 Fahrgäste (760 einsteigende und 759 aussteigende) auf (Antwort des Regierungsrats vom 11. Dezember 2013 auf das Postulat KR-Nr. 300/2013 [abrufbar unter www.kantonsrat.zh.ch &gt; Geschäfte &gt; Übersicht Geschäfte &gt; KR-Nr./Vorlagen-Nr.], S. 2 ff., auch zum Folgenden) . Nachdem die Zahl der gesamthaft mit der Forchbahn beförderten Fahrgäste seither bis zum Ende des Fahrplanjahrs 2016 lediglich um durchschnittlich knapp 1'250 Personen pro Tag angestiegen ist (Forchbahn AG, 104. Geschäftsbericht 2016, S. 15, abrufbar unter www.forchbahn.ch &gt; Unternehmen &gt; Geschäftsbericht [zuletzt abgerufen am 7. August 2017]), ist nicht davon auszugehen, dass sich die Fahrgastzahlen des Bahnhofs Esslingen als – gemessen an den Passagierfrequenzen – siebtgrösster Haltestelle der Forchbahn ausserhalb des Stadtgebiets gegenwärtig massgeblich über den Durchschnittswert von 1'700 Personen pro Werktag hinausbewegen. An Sonntagen dürfte die Anzahl Fahrgäste zudem deutlich geringer sein, zumal sowohl die Forchbahn als auch die Busse der Linie 842 dann am Bahnhof Esslingen jeweils nur im Halbstundentakt verkehren (vgl. www.zvv.ch &gt; Fahrplan &gt; Haltestellenfahrpläne &gt; Esslingen, Bahnhof; www.forchbahn.ch &gt; Fahrplan &gt; Interaktiver Streckenplan). Der zur Beurteilung stehende Spar-Supermarkt der Beschwerdeführerin befindet sich in rund 60 m Fussdistanz vom Gleiskopf des Bahnhofs Esslingen. Von dort her erreichen die Reisenden den Laden, indem sie zunächst die Forchstrasse in südöstlicher Richtung und anschliessend einen grosszügigen Park- bzw. Wendeplatz – gemäss überarbeitetem Gestaltungsplan Teil des Bahnhofplatzes – überqueren (vgl. Gemeinde Egg, Gesamtrevision öffentlicher Gestaltungsplan "Esslinger Dreieck", Erläuterungsbericht, Bearbeitungsstand 21. Dezember 2012, abrufbar unter www.egg.ch &gt; Verwaltung &gt; Abteilungen &gt; Bau &amp; Planung). Den Angaben der Gemeinde Egg zufolge dient der betreffende Platz gleichzeitig als provisorische Haltestelle für Bahnersatzbusse. Unter dem Platz und dem Gebäude, in dem der Supermarkt untergebracht ist, befindet sich sodann eine Unterniveaugarage mit rund 200 Parkplätzen, wovon – den Angaben der Beschwerdeführerin zufolge – 75 als sogenannte Park-and-Ride-Parkplätze genutzt werden können (vgl. www.rehalp-verwaltung.ch &gt; Liegenschaften &gt; Dorfladen und Einstellhalle, 8133 Esslingen [zuletzt abgerufen am 8. August 2017]; ferner Regionalplanung Zürich und Umgebung, Park and Ride Pfannenstiel, Erhebungsjahr 2001, abrufbar unter www.rzu.ch &gt; Tätigkeit &gt; Publikationen [zuletzt abgerufen am 7. August 2017]).</w:t>
      </w:r>
    </w:p>
    <w:p>
      <w:r>
        <w:rPr>
          <w:b/>
        </w:rPr>
        <w:t>E. 5.2</w:t>
      </w:r>
    </w:p>
    <w:p>
      <w:r>
        <w:t>Ein Betrieb für Bahnreisende im Sinn von Art. 26 Abs. 4 ArGV 2 muss sich nicht unmittelbar im Bahnhofgebäude bzw. auf dem Bahnhofgelände selbst befinden. Entscheidend ist der funktionale Bezug des Geschäfts zum Bahnhof als dem Ort des An- oder Abreisens bzw. des Umsteigens der Reisenden. Der Betrieb hat sich dem Normzweck entsprechend als Ganzes, das heisst nicht nur in Bezug auf seine flächenmässige Ausgestaltung und sein Angebot (vgl. BGr, 22. März 2002, 2A.256/2001, E. 7), sondern auch bezüglich seines konkreten Standorts an den zu befriedigenden Bedürfnissen der am Bahnhof verkehrenden Reisenden zu orientieren. Dieses Erfordernis ist erfüllt, wenn die Verkaufsstellen in der Nähe der Bahnsteige, der Gleise oder an den Hauptverkehrswegen im Bahnhof zu oder von den Gleisen liegen (vgl. zum Ganzen auch BGr, 22. März 2002, 2A.256/2001, E. 6.1). Welche Entfernung im Einzelfall noch als ausreichend zu qualifizieren ist, bestimmt sich dabei im Wesentlichen nach der frequenzbringenden Verkehrsfunktion des Bahnhofs bzw. dessen Wertigkeit als Verkehrsknotenpunkt. So ist bei Betriebsstandorten an (Zentrums-)Bahnhöfen mit erheblichem Reiseverkehr und hoher Umsteigekadenz eine grosszügigere Betrachtung angezeigt als bei solchen an schwach frequentierten Regionalbahnhöfen, in denen die Reisenden sich mangels Umsteige- bzw. Anschlussmöglichkeiten regelmässig kaum je länger aufhalten und es bereits innerhalb des Bahnhofareals keine weite Strecken zurückzulegen gilt. Der Bahnhof Esslingen ist (zumindest bei heutiger Betrachtung) verkehrstechnisch nur von mässiger Bedeutung. Entgegen der Beschwerdeführerin treffen jedenfalls die gängigen Merkmale eines eigentlichen Verkehrsknotenpunkts wie Bündelung, Lenkung und Verteilung von Verkehrs- und Besucherströmen auf ihn – wenn überhaupt – nur insofern zu, als er die Endstation einer übergeordneten Linie (S-Bahn) mit einer davon ausgehenden untergeordneten (Bus-)Linie darstellt. Gerade an Sonntagen, wo mit der Forchbahn kaum Berufspendler unterwegs sind, dürfte am Bahnhof Esslingen nur eine äusserst geringe durch die Reisetätigkeit der den Bahnhof Nutzenden begründete Nachfrage nach Detailhandelsprodukten bestehen. Insofern ist davon auszugehen, dass an diesen Tagen nicht die Reisenden, sondern die rein konsumorientiert individuell Verkehrenden das Hauptkundensegment des streitgegenständlichen Spar-Supermarkts der Beschwerdeführerin – dem eigentlichen "Dorfladen" Esslingens – ausmachten. Dies gilt umso eher, als die am Bahnhof Esslingen verkehrende Buslinie auf die Ankunft bzw. Abfahrt der Forchbahn ausgerichtet ist, sodass den Durchreisenden am Sonntag jeweils lediglich zwei bis fünf Minuten zum Umsteigen zur Verfügung stehen (vgl. www.zvv.ch &gt; Fahrplan &gt; Haltestellenfahrpläne &gt; Esslingen, Bahnhof). Aufgrund seiner Gestaltung (kein eigentliches Bahnhofgebäude bzw. geschlossenes Wartehäuschen, keine Geschäfte) verfügt der Bahnhof Esslingen denn auch über eine niedrige Aufenthaltsqualität. Nach dem oben Dargelegten rechtfertigt es sich somit vorliegend, an die Voraussetzungen nach Art. 26 Abs. 4 ArGV 2 einen strengen Massstab anzulegen. Bei dieser Ausgangslage ist nicht zu beanstanden, wenn die Vorinstanz dafürhält, die betreffende Spar-Filiale bilde angesichts ihres Standorts auf der gegenüberliegenden Strassenseite in rund 60 m Entfernung vom Gleiskopf des Bahnhofs Esslingen weder eine räumliche noch eine funktionale Einheit mit Letzterem, sodass sie nicht vom Geltungsbereich des Art. 26 Abs. 4 ArGV 2 erfasst werde.</w:t>
      </w:r>
    </w:p>
    <w:p>
      <w:r>
        <w:rPr>
          <w:b/>
        </w:rPr>
        <w:t>E. 5.3</w:t>
      </w:r>
    </w:p>
    <w:p>
      <w:r>
        <w:t>Ob das Ergebnis anders ausfiele, wenn bei der unter Art. 27 Abs. 1 ArG bzw. Art. 26 Abs. 2 und 4 ArGV 2 anzustellenden Gesamtbetrachtung zumindest das Ladenkonzept der Beschwerdeführerin einheitsstiftend wirkte, indem es erkennbar auf das Verkehrs- und Publikumsaufkommen am Bahnhof Esslingen und die Bedürfnisse der Reisenden ausgerichtet wäre (vgl. die Konzepte der Kleinläden Spar-Express, Denner-Express, Avec, Migrolino, Coop Pronto), braucht nicht beurteilt zu werden, erscheint die Frage doch – zumindest derzeit – rein hypothetischer Natur. Zwar macht die Beschwerdeführerin geltend, künftig am Standort Esslingen an Sonntagen ausschliesslich ein Sortiment für Reisende anbieten zu wollen; ein schlüssiges, den individuellen Verhältnissen angepasstes Ladenkonzept legt sie jedoch nicht vor. Sie vertritt stattdessen die Auffassung, in dem bisher am fraglichen Standort betriebenen Spar-Supermarkt mit Lebensmittelvollsortiment lasse sich nach einem geringfügigen Umbau am Sonntag ohne Probleme auf einer entsprechend reduzierten Fläche ein Sortiment anbieten, welches den betrieblichen Anforderungen des Art. 26 Abs. 4 ArGV 2 genüge. Wie sie dies bei einem Geschäft bewerkstelligen will, dessen Verkaufsfläche – den An­gaben auf der Webseite ihrer Vermieterin zufolge – seit einem Umbau im Jahr 2015 über 700 m 2 umfasst, ist nicht dargetan (vgl. www.rehalp-verwaltung.ch &gt; Liegenschaften &gt; Dorfladen und Einstellhalle, 8133 Esslingen [zuletzt abgerufen am 8. August 2017]). Anders als etwa bei einem Landi-Genossenschaftsladen, bei dem mit Blick auf das angebotene Vollsortiment und dessen Anordnung im Geschäft die Abtrennung eines verkleinerten Shops an Sonntagen betrieblich ohne grössere Probleme möglich ist (vgl. BGr, 16. Januar 2007, 2A.211/2006), wäre die allwöchentliche Umgestaltung des streitgegenständlichen Supermarkts in einen reinen Reisebedürfnisbetrieb nach Art. 26 Abs. 4 ArGV 2 jedenfalls mit einem erheblichen Aufwand sowohl auf Seiten der Beschwerdeführerin als auch des Beschwerdegegners (Kontrollaufwand) verbunden (vgl. zu den konkreten Anforderungen an einen Reisebedürfnisbetrieb die Checkliste des Seco für Nacht- und Sonntagsarbeit in Betrieben für Reisende vom März 2014, abrufbar unter www.seco.admin.ch &gt; Publikationen &amp; Dienstleistungen &gt; Publikationen &gt; Arbeit &gt; Arbeitsbedingungen &gt; Merkblätter und Checklisten). Insofern birgt das Vorhaben der Beschwerdeführerin ein beträchtliches Umgehungsrisiko in sich, welches sich nicht mit dem nach den geltenden Bestimmungen des Arbeitsgesetzes für kleine Bahnhöfe auch weiterhin massgeblichen strikten Verbot des reinen Einkaufstourismus an Sonntagen in Einklang bringen liesse (vgl. anders für Zentren des öffentlichen Verkehrs Art. 27 Abs. 1 ter ArG, zu denen der Bahnhof Esslingen unstreitig nicht gezählt werden kann).</w:t>
      </w:r>
    </w:p>
    <w:p>
      <w:r>
        <w:rPr>
          <w:b/>
        </w:rPr>
        <w:t>E. 5.4</w:t>
      </w:r>
    </w:p>
    <w:p>
      <w:r>
        <w:t>Soweit die Beschwerdeführerin sodann eine Gleichbehandlung im Unrecht verlangt, fehlt es bereits an der Voraussetzung einer regelmässigen gesetzwidrigen Praxis des Beschwerdegegners (vgl. hierzu BGE 123 II 248 E. 3c). Die von der Beschwerdeführerin in diesem Zusammenhang angeführten "Vergleichsbetriebe", bei denen der Beschwerdegegner eine Sonntagsbeschäftigung von Arbeitnehmenden dulde, lassen sich nicht mit demjenigen der Beschwerdeführerin vergleichen. So befinden sich nur 3 der insgesamt 18 aufgeführten Betriebsstandorte in der Nähe eines aus verkehrstechnischer Sicht mit dem Bahnhof Esslingen vergleichbaren Bahnhofs (Anbindung an nicht mehr als eine S-Bahn- sowie eine Buslinie); davon grenzen wiederum zwei unmittelbar an den Bahnhof bzw. das eigentliche Bahnhofgebäude (vgl. auch www.zvv.ch &gt; Fahrplan &gt; Haltestellenfahrpläne, ebenso zum Folgenden). Von zwei Ausnahmen am Bahnhof Bubikon (je 3 S-Bahn- sowie Buslinien) sowie am Bahnhof Dübendorf (3 S-Bahnlinien und 4 Buslinien) abgesehen, handelt es sich zudem bei sämtlichen Betrieben um speziell auf die Bedürfnisse von Reisenden ausgerichtete Kleinläden (Avec, Migrolino und Spar Express) bzw. kleine Familienbetriebe. Selbst wenn der Beschwerdegegner aber das Arbeitsgesetz in einzelnen Vergleichsfällen nicht gesetzeskonform vollziehen sollte – was nicht belegt ist –, so ist in keiner Weise ersichtlich, dass er in Zukunft an einer gesetzwidrigen Praxis festzuhalten beabsichtigte. Die Voraussetzungen für einen Anspruch auf Gleichbehandlung im Unrecht sind somit nicht erfüllt.</w:t>
      </w:r>
    </w:p>
    <w:p>
      <w:r>
        <w:rPr>
          <w:b/>
        </w:rPr>
        <w:t>E. 6.1</w:t>
      </w:r>
    </w:p>
    <w:p>
      <w:r>
        <w:t>Die Beschwerdeführerin wendet schliesslich ein, die teilweise Gutheissung ihres Rekurses hätte sich auf den vorinstanzlichen Kosten- und Entschädigungsentscheid auswirken müssen.</w:t>
      </w:r>
    </w:p>
    <w:p>
      <w:r>
        <w:rPr>
          <w:b/>
        </w:rPr>
        <w:t>E. 6.2</w:t>
      </w:r>
    </w:p>
    <w:p>
      <w:r>
        <w:t>Gemäss § 13 Abs. 1 VRG können die Verwaltungsbehörden für ihre Amtshandlungen Gebühren und Kosten auferlegen. Mehrere am Verfahren Beteiligte tragen die Kosten dabei in der Regel ihrem Unterliegen entsprechend (§ 13 Abs. 2 Satz 1 VRG). Dieses sogenannte Unterliegerprinzip findet grundsätzlich auch bei der Auferlegung einer Parteientschädigung nach § 17 Abs. 2 VRG Berücksichtigung. So ist die Entschädigung anteilsmässig (im Umfang des Obsiegens) zuzusprechen bzw. (im Umfang des Unterliegens) zu reduzieren; obsiegt eine Partei weniger als zur Hälfte, wird ihr keine Parteientschädigung zugesprochen (Plüss, § 17 N. 19 ff.). Das Obsiegen wird grundsätzlich daran gemessen, mit welchen Anträgen die Verfahrensbeteiligten durchdringen (Plüss, § 13 N. 50 f.). Die teilweise Aufhebung bzw. Abänderung der Ausgangsverfügung ist einzig darauf zurückzuführen, dass der Beschwerdegegner darin in Überschreitung seiner Entscheidkompetenz nicht nur die Feststellung getroffen hat, bei dem streitgegenständlichen Detailhandelsgeschäft seien die arbeitsrechtlichen Voraussetzungen für einen Sonntagsbetrieb nicht erfüllt, sondern gleichzeitig auch die Zulässigkeit der Öffnung des Ladens an Sonntagen gestützt auf das (kantonale) Ruhetags- und Ladenöffnungsgesetz vom 26. Juni 2000 (LS 822.4) verneint hat. Dies wurde im vorinstanzlichen Verfahren seitens der Beschwerdeführerin weder explizit beanstandet noch die Aufhebung der Ausgangsverfügung in diesem Punkt beantragt. Der Rekurs der Beschwerdeführerin zielte vielmehr ausschliesslich auf die gerichtliche Feststellung ab, dass der streitgegenständliche Supermarkt die örtlichen Voraussetzungen des Art. 26 Abs. 4 ArGV 2 erfülle und – die Umsetzung der massgeblichen betrieblichen Vorgaben vorausgesetzt – aus arbeitsrechtlicher Sicht als Betrieb für Reisende auch sonntags (bewilligungsfrei) unterhalten werden dürfe. Diesem Ziel brachte sie der Rekursentscheid nicht näher (so auch in der Beschwerde: "[…] zumal eine solche Bewilligung ohne die kantonale Bewilligung zur Beschäftigung von Arbeitnehmenden nutzlos wäre"), weshalb dieser auch im Kosten- und Entschädigungspunkt nicht zu beanstanden ist.</w:t>
      </w:r>
    </w:p>
    <w:p>
      <w:r>
        <w:rPr>
          <w:b/>
        </w:rPr>
        <w:t>E. 7.1</w:t>
      </w:r>
    </w:p>
    <w:p>
      <w:r>
        <w:t>Nach dem Gesagten ist die Beschwerde abzuweisen.</w:t>
      </w:r>
    </w:p>
    <w:p>
      <w:r>
        <w:rPr>
          <w:b/>
        </w:rPr>
        <w:t>E. 7.2</w:t>
      </w:r>
    </w:p>
    <w:p>
      <w:r>
        <w:t>Ausgangsgemäss sind die Gerichtskosten der Beschwerdeführerin aufzuerlegen und ist dieser keine Parteientschädigung zuzusprechen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