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VB.2016.00750 vom 2. September 2015</w:t>
      </w:r>
    </w:p>
    <w:p>
      <w:r>
        <w:t>ZH Verwaltungsgericht, 2015-09-02, DE</w:t>
      </w:r>
    </w:p>
    <w:p>
      <w:r>
        <w:rPr>
          <w:b/>
        </w:rPr>
        <w:t xml:space="preserve">Quelle: </w:t>
      </w:r>
      <w:r>
        <w:t>https://mcp.opencaselaw.ch/entscheid/zh_verwaltungsgericht__VB.2016.00750</w:t>
      </w:r>
    </w:p>
    <w:p>
      <w:r>
        <w:t>FR: ZH_VERWALTUNGSGERICHT VB.2016.00750 du 2 septembre 2015</w:t>
      </w:r>
    </w:p>
    <w:p>
      <w:r>
        <w:t>IT: ZH_VERWALTUNGSGERICHT VB.2016.00750 del 2 settembre 2015</w:t>
      </w:r>
    </w:p>
    <w:p>
      <w:pPr>
        <w:pStyle w:val="Heading2"/>
      </w:pPr>
      <w:r>
        <w:t>Regeste</w:t>
      </w:r>
    </w:p>
    <w:p>
      <w:r>
        <w:t>Nichtbestehen der Masterarbeit und Studienausschluss | [Mitwirkung zweier miteinander in enger Beziehung stehender Personen im gleichen Prüfungsgremium; Anfechtbarkeit eines Rückweisungsentscheids] Beim Rückweisungsentscheid handelt es sich um einen Zwischenentscheid (E. 1.2). Die Beschwerdeführerin rügte eine fehlerhafte Zusammensetzung des Prüfungsgremiums erst im Rekurs und damit zu spät (E. 2.3). Die Mitwirkung zweier eng miteinander verbundener Personen (geschiedene Ehe, gemeinsames Kind) verstösst hier nicht gegen Unvereinbarkeitsbestimmungen. Ein Anschein der Befangenheit läge sodann nur vor, wenn konkrete Hinweise bestünden, dass eines der Mitglieder des Prüfungsgremiums seinen Entscheid nicht mehr ohne äusseren Einfluss fällen kann; solche Hinweise liegen hier nicht vor (E. 2.4). Im Übrigen ist der Rückweisungsentscheid nicht anfechtbar (E. 3). Abweisung UP/URB wegen offensichtlicher Aussichtslosigkeit (E. 5.2). Abweisung der Beschwerde, soweit auf sie eingetreten wird.</w:t>
      </w:r>
    </w:p>
    <w:p>
      <w:pPr>
        <w:pStyle w:val="Heading2"/>
      </w:pPr>
      <w:r>
        <w:t>Erwägungen</w:t>
      </w:r>
    </w:p>
    <w:p>
      <w:r>
        <w:rPr>
          <w:b/>
        </w:rPr>
        <w:t>E. 4</w:t>
      </w:r>
    </w:p>
    <w:p>
      <w:r>
        <w:t>Nach dem Gesagten ist die Beschwerde abzuweisen, soweit darauf einzutreten ist.</w:t>
      </w:r>
    </w:p>
    <w:p>
      <w:r>
        <w:rPr>
          <w:b/>
        </w:rPr>
        <w:t>E. 5.1</w:t>
      </w:r>
    </w:p>
    <w:p>
      <w:r>
        <w:t>Ausgangsgemäss sind die Gerichtskosten der Beschwerdeführerin aufzuerlegen und ist dieser keine Parteientschädigung zuzusprechen (§ 65a Abs. 2 in Verbindung mit § 13 Abs. 2 Satz 1 und § 17 Abs. 2 VRG).</w:t>
      </w:r>
    </w:p>
    <w:p>
      <w:r>
        <w:rPr>
          <w:b/>
        </w:rPr>
        <w:t>E. 5.2</w:t>
      </w:r>
    </w:p>
    <w:p>
      <w:r>
        <w:t>Die Beschwerdeführerin ersucht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 Nach dem vorgängig Ausgeführten konnte die Beschwerdeführerin nicht ernsthaft mit einer Gutheissung ihrer Beschwerde rechnen; diese erweist sich damit als offensichtlich aussichtslos.</w:t>
      </w:r>
    </w:p>
    <w:p>
      <w:r>
        <w:rPr>
          <w:b/>
        </w:rPr>
        <w:t>E. 6</w:t>
      </w:r>
    </w:p>
    <w:p>
      <w:r>
        <w:t>Zur Rechtsmittelbelehrung des nachstehenden 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Thomas Häberli, Basler Kommentar, 2011, Art. 83 BGG N. 299). Ansonsten kann die subsidiäre Verfassungsbeschwerde gemäss Art. 113 ff. BGG ergriffen werden. Werden beide Rechtsmittel erhoben, hat dies in der gleichen Rechtsschrift zu geschehen (Art. 119 Abs. 1 BGG). Soweit mit diesem Entscheid über die Ausstandspflicht im erstinstanzlichen Verfahren entschieden wurde, handelt es sich um einen Zwischenentscheid im Sinn von Art. 92 BGG, gegen den die Beschwerde zulässig ist. Im Übrigen ist das vorliegende Urteil ein Entscheid über einen Rückweisungsentscheid und damit ebenfalls ein Zwischenentscheid (Bertschi, § 19a N. 32; VGr, 2. September 2015, VB.2015.00438, E. 8). Das Bundesgericht lässt sich daher im Sinn des Art. 93 BGG nur anrufen, wenn ein nicht wiedergutzumachender Nachteil drohte oder wenn die Gutheissung der Beschwerde sofort einen Endentscheid herbeiführen könnte und so ein bedeutender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