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VB.2016.00703 vom 26. Oktober 2011</w:t>
      </w:r>
    </w:p>
    <w:p>
      <w:r>
        <w:t>ZH Verwaltungsgericht, 2011-10-26, DE</w:t>
      </w:r>
    </w:p>
    <w:p>
      <w:r>
        <w:rPr>
          <w:b/>
        </w:rPr>
        <w:t xml:space="preserve">Quelle: </w:t>
      </w:r>
      <w:r>
        <w:t>https://mcp.opencaselaw.ch/entscheid/zh_verwaltungsgericht__VB.2016.00703</w:t>
      </w:r>
    </w:p>
    <w:p>
      <w:r>
        <w:t>FR: ZH_VERWALTUNGSGERICHT VB.2016.00703 du 26 octobre 2011</w:t>
      </w:r>
    </w:p>
    <w:p>
      <w:r>
        <w:t>IT: ZH_VERWALTUNGSGERICHT VB.2016.00703 del 26 ottobre 2011</w:t>
      </w:r>
    </w:p>
    <w:p>
      <w:pPr>
        <w:pStyle w:val="Heading2"/>
      </w:pPr>
      <w:r>
        <w:t>Regeste</w:t>
      </w:r>
    </w:p>
    <w:p>
      <w:r>
        <w:t>Schlussabrechnung des Kantonsbeitrags 2013 | [Kantonaler Kostenanteil für den Betrieb eines Jugendheims, Anrechenbarkeit von internen Mietzinsen] Ein von der Trägerschaft eines Jugendheims diesem für die Benutzung der im Eigentum der Trägerschaft stehenden Liegenschaften belasteter Mietzins ist im Rahmen der Festlegung des Staatsbeitrags nicht als Aufwand anrechenbar (Bestätigung der Rechtsprechung). Abweisung.</w:t>
      </w:r>
    </w:p>
    <w:p>
      <w:pPr>
        <w:pStyle w:val="Heading2"/>
      </w:pPr>
      <w:r>
        <w:t>Erwägungen</w:t>
      </w:r>
    </w:p>
    <w:p>
      <w:r>
        <w:rPr>
          <w:b/>
        </w:rPr>
        <w:t>E. 4</w:t>
      </w:r>
    </w:p>
    <w:p>
      <w:r>
        <w:t>Da schliesslich die Höhe des angerechneten Liegenschaftsaufwands nicht beanstandet wird, erweist sich die Ausgangsverfügung nach dem Gesagten als rechtmässig. Die Beschwerde ist entsprechend abzuweisen.</w:t>
      </w:r>
    </w:p>
    <w:p>
      <w:r>
        <w:rPr>
          <w:b/>
        </w:rPr>
        <w:t>E. 5</w:t>
      </w:r>
    </w:p>
    <w:p>
      <w:r>
        <w:t>Ausgangsgemäss sind die Gerichtskosten der Beschwerdeführerin aufzuerlegen und ist ihr keine Parteientschädigung zuzusprechen (§ 65a Abs. 2 in Verbindung mit § 13 Abs. 2 Satz 1 und § 17 Abs. 2 VRG).</w:t>
      </w:r>
    </w:p>
    <w:p>
      <w:r>
        <w:rPr>
          <w:b/>
        </w:rPr>
        <w:t>E. 6</w:t>
      </w:r>
    </w:p>
    <w:p>
      <w:r>
        <w:t>Zur Rechtsmittelbelehrung des nachfolgenden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