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VB.2016.00617 vom 4. Januar 2017</w:t>
      </w:r>
    </w:p>
    <w:p>
      <w:r>
        <w:t>ZH Verwaltungsgericht, 2017-01-04, DE</w:t>
      </w:r>
    </w:p>
    <w:p>
      <w:r>
        <w:rPr>
          <w:b/>
        </w:rPr>
        <w:t xml:space="preserve">Quelle: </w:t>
      </w:r>
      <w:r>
        <w:t>https://mcp.opencaselaw.ch/entscheid/zh_verwaltungsgericht__VB.2016.00617</w:t>
      </w:r>
    </w:p>
    <w:p>
      <w:r>
        <w:t>FR: ZH_VERWALTUNGSGERICHT VB.2016.00617 du 4 janvier 2017</w:t>
      </w:r>
    </w:p>
    <w:p>
      <w:r>
        <w:t>IT: ZH_VERWALTUNGSGERICHT VB.2016.00617 del 4 gennaio 2017</w:t>
      </w:r>
    </w:p>
    <w:p>
      <w:pPr>
        <w:pStyle w:val="Heading2"/>
      </w:pPr>
      <w:r>
        <w:t>Regeste</w:t>
      </w:r>
    </w:p>
    <w:p>
      <w:r>
        <w:t>Entzug des Führerausweises | Entzug des Führerausweises wegen schwerer Verletzung der Abstandsvorschriften: Abweichen von den Tatsachenfeststellungen und der rechtlichen Würdigung eines rechtskräftigen Strafurteils im Administrativverfahren. Die Verwaltungsbehörde ist grundsätzlich an die Tatsachenfeststellungen und die rechtliche Würdigung des Strafurteils gebunden und darf nur unter engen Voraussetzungen davon abweichen. Sie hat insbesondere dann darauf abzustellen, wenn das Strafurteil im ordentlichen Verfahren mit öffentlicher Verhandlung unter Anhörung der Parteien und Einvernahme von Zeugen ergangen ist.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(E. 3.1). Der vom Obergericht dargestellte Sachverhalt überzeugt genauso wie das bundesgerichtliche Urteil, wonach dieser gestützt auf die Akten feststellbar war und sorgfältig ermittelt worden ist. Sodann bringt der Beschwerdeführer im Administrativverfahren nichts vor, was nicht bereits bei der Beurteilung durch die Strafgerichte berücksichtigt worden wäre. Zudem ist das Strafurteil im ordentlichen Verfahren unter Anhörung des Beschwerdeführers ergangen, weshalb klare Anhaltspunkte für die Unrichtigkeit der Tatsachenfeststellungen im Strafurteil bestehen müssten. Dies ist vorliegend nicht der Fall (E. 3.2). Es ist erstellt, dass der Beschwerdeführer bei einer Geschwindigkeit von mind. 90 km/h während einer Dauer von mind. 50 s zum vorderen Fahrzeug lediglich einen Abstand von 5–10 m eingehalten hat. Mit Verweis auf die vom Bundesgericht anerkannte Faustregel von 1/6 der Geschwindigkeit, hier entsprechend 15 m, hielt sich die Vorinstanz zu Recht auch an die rechtliche Würdigung des Strafrichters und ging von einer schweren Verletzungder Verkehrsregeln im Sinn von Art. 12 Abs. 1 VRV in Verbindung mit Art. 34 Abs. 4 Art. 90 und Abs. 2 SVG aus (E. 3.4). Abweisung.</w:t>
      </w:r>
    </w:p>
    <w:p>
      <w:pPr>
        <w:pStyle w:val="Heading2"/>
      </w:pPr>
      <w:r>
        <w:t>Erwägungen</w:t>
      </w:r>
    </w:p>
    <w:p>
      <w:r>
        <w:rPr>
          <w:b/>
        </w:rPr>
        <w:t>E. 4.1</w:t>
      </w:r>
    </w:p>
    <w:p>
      <w:r>
        <w:t>Der Beschwerdeführer macht hinsichtlich der Entzugsdauer ein sehr leichtes Verschulden geltend, aufgrund dessen auf eine Massnahme zu verzichten sei. Wie soeben ausgeführt, ging das Obergericht in seinem Entscheid zu Recht von einem direkten Vorsatz aus und bejahte eine grobe Verkehrsregelverletzung. Es liegen dementsprechend weder eine besonders geringfügige Gefährdung noch ein besonders geringes Verschulden vor, da der Beschwerdeführer nicht die Gewissheit haben konnte, niemanden zu gefährden. Damit ist die Anwendbarkeit des vom Beschwerdeführer angerufenen Art. 16a Abs. 4 SVG ausgeschlossen (vgl. Bernhard Rütsche/Denise Weber in: Marcel Alexander Niggli/Thomas Probst/Bernhard Waldmann [Hrsg.], Basler Kommentar, Strassenverkehrsgesetz, Basel 2014, Art. 16a N. 27 ). Es kann daher vorliegend nicht von einer Massnahme abgesehen werden.</w:t>
      </w:r>
    </w:p>
    <w:p>
      <w:r>
        <w:rPr>
          <w:b/>
        </w:rPr>
        <w:t>E. 4.2</w:t>
      </w:r>
    </w:p>
    <w:p>
      <w:r>
        <w:t>Nach einer schweren Widerhandlung gegen das Strassenverkehrsgesetz wird der Führerausweis entzogen (Art. 16c Abs. 2 SVG). Bezüglich der festgesetzten Dauer kann vorab auf die zutreffenden Erwägungen der Rekursinstanz verwiesen werden (Entscheid der Vorinstanz, E. 6b; § 70 in Verbindung mit § 28 Abs. 1 Satz 2 VRG). Aufgrund des vorangegangenen Führerausweisentzugs vom 26. August 2009 wegen schwerer Widerhandlung beträgt die Mindestentzugsdauer im vorliegenden Fall gemäss von Art. 16c Abs. 2 lit. c SVG zwölf Monate und darf nach Art. 16 Abs. 3 Satz 2 SVG nicht unterschritten werden (BGE 135 II 334 E. 2.2).</w:t>
      </w:r>
    </w:p>
    <w:p>
      <w:r>
        <w:rPr>
          <w:b/>
        </w:rPr>
        <w:t>E. 4.3</w:t>
      </w:r>
    </w:p>
    <w:p>
      <w:r>
        <w:t>Angesichts des stark belasteten automobilistischen Leumunds einerseits (vier Ausweisentzüge zwischen einem und sechs Monaten seit 2002) und der von der Beschwerdegegnerin berücksichtigten beruflichen Massnahmeempfindlichkeit anderseits erweist sich eine Entzugsdauer von 14 Monaten als rechtmässig. Dies insbesondere auch unter dem bereits von der Vorinstanz angebrachten Hinweis, dass der Beschwerdeführer dadurch nicht gleich wie etwa ein Berufschauffeur oder Taxifahrer betroffen ist. Die Ausübung der Berufstätigkeit erweist sich nicht als von der Verfügbarkeit des Fahrzeugs abhängig, sondern spielt dieses lediglich bei deren Ausübung eine zentrale Rolle. Unter diesen Aspekten ist die Entzugsdauer von zwei Monaten über dem gesetzlichen Minimum nicht unverhältnismässig.</w:t>
      </w:r>
    </w:p>
    <w:p>
      <w:r>
        <w:rPr>
          <w:b/>
        </w:rPr>
        <w:t>E. 5.1</w:t>
      </w:r>
    </w:p>
    <w:p>
      <w:r>
        <w:t>Die Rügen erweisen sich damit insgesamt als unbegründet und die Beschwerde ist abzuweisen. Es bleibt somit bei der Verfügung vom 6. November 2015, mit welcher das Strassenverkehrsamt des Kantons Zürich dem Beschwerdeführer den Führerausweis aufgrund einer schweren Widerhandlung gegen die Strassenverkehrsvorschriften für die Dauer von 14 Monaten entzogen hat.</w:t>
      </w:r>
    </w:p>
    <w:p>
      <w:r>
        <w:rPr>
          <w:b/>
        </w:rPr>
        <w:t>E. 5.2</w:t>
      </w:r>
    </w:p>
    <w:p>
      <w:r>
        <w:t>Ausgangsgemäss sind die Gerichtskosten dem Beschwerdeführer aufzuerlegen (§ 65a Abs. 2 in Verbindung mit § 13 Abs. 2 Satz 1 VRG). Parteientschädigungen sind bei diesem Ergebnis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