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VB.2016.00587 vom 3. Mai 2012</w:t>
      </w:r>
    </w:p>
    <w:p>
      <w:r>
        <w:t>ZH Verwaltungsgericht, 2012-05-03, DE</w:t>
      </w:r>
    </w:p>
    <w:p>
      <w:r>
        <w:rPr>
          <w:b/>
        </w:rPr>
        <w:t xml:space="preserve">Quelle: </w:t>
      </w:r>
      <w:r>
        <w:t>https://mcp.opencaselaw.ch/entscheid/zh_verwaltungsgericht__VB.2016.00587</w:t>
      </w:r>
    </w:p>
    <w:p>
      <w:r>
        <w:t>FR: ZH_VERWALTUNGSGERICHT VB.2016.00587 du 3 mai 2012</w:t>
      </w:r>
    </w:p>
    <w:p>
      <w:r>
        <w:t>IT: ZH_VERWALTUNGSGERICHT VB.2016.00587 del 3 maggio 2012</w:t>
      </w:r>
    </w:p>
    <w:p>
      <w:pPr>
        <w:pStyle w:val="Heading2"/>
      </w:pPr>
      <w:r>
        <w:t>Regeste</w:t>
      </w:r>
    </w:p>
    <w:p>
      <w:r>
        <w:t>Fristwiederherstellungsgesuch/Aufenthaltsbewilligung (Kantonswechsel) | [Wiederherstellung der Beschwerdefrist] Eine versäumte Frist kann nach (§ 70 in Verbindung mit) § 12 Abs. 2 VRG wiederhergestellt werden, wenn die säumige Person sich nicht grob nachlässig verhalten hat und sie binnen zehn Tagen nach Wegfall des Grunds, welcher die Fristwahrung verhindert hat, ein Restitutionsgesuch einreicht (E. 2.1 Abs. 1). Eine Krankheit, namentlich eine Depression, genügt allein nicht für eine Fristwiederherstellung; zusätzlich muss hierin die (anzuerkennende) Ursache für die Säumnis liegen. Ein Arztzeugnis, das ohne nähere Angabe von Gründen bescheinigt, die säumige Person sei während eines bestimmten Zeitraums gänzlich arbeitsunfähig bzw. könne keine administrativen Dinge erledigen, bedeutet keinen genügenden Nachweis für fehlende grobe Nachlässigkeit; vielmehr muss es verraten, weshalb die betroffene Person die fristwahrende Handlung aus gesundheitlichen Gründen nicht vorzunehmen und auch sonst niemanden damit zu betrauen vermochte; es muss also belegen, dass die säumige Person der Möglichkeit jeglichen zielgerichteten Handelns ermangelt habe (E. 2.1 Abs. 3). Abweisung.</w:t>
      </w:r>
    </w:p>
    <w:p>
      <w:pPr>
        <w:pStyle w:val="Heading2"/>
      </w:pPr>
      <w:r>
        <w:t>Erwägungen</w:t>
      </w:r>
    </w:p>
    <w:p>
      <w:r>
        <w:rPr>
          <w:b/>
        </w:rPr>
        <w:t>E. 4</w:t>
      </w:r>
    </w:p>
    <w:p>
      <w:r>
        <w:t>Zur Rechtsmittelbelehrung in Ziff. 5 des nachstehenden Beschlussdispositivs ist Folgendes zu erläutern (vgl. auch Plüss, § 12 N. 94): Soweit im Hintergrund ein Anwesenheitsanspruch des Beschwerdeführers geltend gemacht werden will, ist Beschwerde in öffentlichrechtlichen Angelegenheiten nach Art. 82 ff. des Bundesgerichtsgesetzes vom 17. Juni 2005 (BGG, SR 173.110) zu erheben (vgl. Art. 83 lit. c Ziff. 2 BGG e contrario; BGE 139 I 330 E. 1.1; Daniela Thurnherr in: Martina Caroni/Thomas Gächter/Daniela Thurnherr [Hrsg.], Bundesgesetz über die Ausländerinnen und Ausländer [AuG], Bern 2010, Art. 112 N. 39 ff.; Thomas Häberli, Basler Kommentar, 2011, Art. 83 BGG N. 64 ff.; Hansjörg Seiler in: derselbe et al., Bundesgerichtsgesetz [BGG], 2. A., Bern 2015, Art. 83 N. 25 ff.). Andernfalls steht lediglich die subsidiäre Verfassungsbeschwerde gemäss Art. 113 ff. BGG zu Gebot (Art. 83 lit. c Ziff. 2 BGG; siehe zu ihrer hier besonders beschränkten Reichweite Peter Nideröst, Sans-Papiers in der Schweiz, in: Peter Uebersax et al. [Hrsg.], Ausländerrecht, 2. A., Basel 2009, S. 373 ff., Rz. 9.33; Thurnherr, Art. 112 N. 72–75; Häberli, Art. 83 N. 61; Seiler, Art. 83 N. 24, Art. 115 N. 27); das trifft insbesondere im Zusammenhang mit dem Wegweisungspunkt zu (Art. 83 lit. c Ziff. 2 und 4 BGG; Thurnherr, Art. 112 N. 62; Seiler, Art. 83 N. 33 ff.; BGr, 3. Mai 2012, 2C_911/2011, E. 1.1 f.).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