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VB.2016.00569 vom 16. August 2016</w:t>
      </w:r>
    </w:p>
    <w:p>
      <w:r>
        <w:t>ZH Verwaltungsgericht, 2016-08-16, DE</w:t>
      </w:r>
    </w:p>
    <w:p>
      <w:r>
        <w:rPr>
          <w:b/>
        </w:rPr>
        <w:t xml:space="preserve">Quelle: </w:t>
      </w:r>
      <w:r>
        <w:t>https://mcp.opencaselaw.ch/entscheid/zh_verwaltungsgericht__VB.2016.00569</w:t>
      </w:r>
    </w:p>
    <w:p>
      <w:r>
        <w:t>FR: ZH_VERWALTUNGSGERICHT VB.2016.00569 du 16 août 2016</w:t>
      </w:r>
    </w:p>
    <w:p>
      <w:r>
        <w:t>IT: ZH_VERWALTUNGSGERICHT VB.2016.00569 del 16 agosto 2016</w:t>
      </w:r>
    </w:p>
    <w:p>
      <w:pPr>
        <w:pStyle w:val="Heading2"/>
      </w:pPr>
      <w:r>
        <w:t>Regeste</w:t>
      </w:r>
    </w:p>
    <w:p>
      <w:r>
        <w:t>Stipendien | [Nichteintreten wegen Fristversäumnis] Der angefochtene Entscheid wurde der Beschwerdeführerin während der (Sommer-)Gerichtsferien zugestellt. Entsprechend fing die 30-tägige Beschwerdefrist am 16. August 2016 an und hörte am (Mittwoch,) 14. September 2016 auf. Auf das am 15. September 2016 erhobene Rechtsmittel ist daher wegen Fristversäumnis nicht einzutreten (E. 2 Abs. 1). Sollte die Beschwerdeführerin das Verwaltungsgericht nur unter der unzulässigen Bedingung anzurufen gewünscht haben, dass ihr unentgeltliche Rechtspflege gewährt werde, wäre das Rechtsmittel auch deshalb nicht an die Hand zu nehmen; schliesslich liesse sich auf ein blosses Gesuch um unentgeltliche Rechtspflege aus dem zusätzlichen Grund ebenso wenig eintreten, dass es anders als im Zivilprozess erst ab Rechtshängigkeit einer Beschwerde eingereicht werden könnte (E. 2 Abs. 2). Im Unterschied zum Zivilprozess müssen um unentgeltliche (Verwaltungs-)Rechtspflege Ersuchende befürchten, dass ihnen dafür eigens Kosten auferlegt werden können, und zwar selbst bei Obsiegen in der Hauptsache (E. 3 Abs. 3). Nichteintreten.</w:t>
      </w:r>
    </w:p>
    <w:p>
      <w:pPr>
        <w:pStyle w:val="Heading2"/>
      </w:pPr>
      <w:r>
        <w:t>Erwägungen</w:t>
      </w:r>
    </w:p>
    <w:p>
      <w:r>
        <w:rPr>
          <w:b/>
        </w:rPr>
        <w:t>E. 4</w:t>
      </w:r>
    </w:p>
    <w:p>
      <w:r>
        <w:t>Zur Rechtsmittelbelehrung im nachstehenden Verfügungsdispositiv ist Folgendes zu erläutern: Art. 83 lit. k des Bundesgerichtsgesetzes vom 17. Juni 2005 (BGG, SR 173.110) schliesst die Beschwerde in öffentlichrechtlichen Angelegenheiten an das Bundesgericht aus gegen Entscheide betreffend Subventionen, auf die kein Anspruch besteht. Einen solchen gilt es nach der Praxis anzunehmen, wenn das einschlägige Recht die Bedingungen umschreibt, unter welchen ein Beitrag zu leisten sei, ohne dass es im Ermessen der rechtsanwendenden Behörde läge, ob sie diesen gewähren wolle oder nicht (Hansjörg Seiler in: Hansjörg Seiler et al., Bundesgerichtsgesetz [BGG], 2. A., Bern 2015, Art. 83 N. 90 ff.). Das trifft bei der Stipendienverordnung zu (BGr, 29. August 2007, 2C_372/2007, E. 2 Abs. 1, und 17. September 2009, 2C_189/2009 E. 3.1). Sollte die Beschwerdeführerin freilich noch gar kein Rechtsmittel eingelegt haben, würde es sich hier wohl um einen Zwischenentscheid handeln, der sich beim Bundesgericht einzig anfechten liesse, wenn ein nicht wiedergutzumachender Nachteil drohte (Art. 93 Abs. 1 lit. a BGG; vgl. Plüss, § 12 N. 15; Nicolas von Werdt in: Seiler et al., Art. 93 N. 12 f.; Lukas Huber in: Alexander Brunner/Dominik Gasser/Ivo Schwander [Hrsg.], Schweizerische Zivilprozessordnung [ZPO], 2. A., Zürich/St. Gallen 2016, Art. 122 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