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VB.2016.00527 vom 27. Oktober 2016</w:t>
      </w:r>
    </w:p>
    <w:p>
      <w:r>
        <w:t>ZH Verwaltungsgericht, 2016-10-27, DE</w:t>
      </w:r>
    </w:p>
    <w:p>
      <w:r>
        <w:rPr>
          <w:b/>
        </w:rPr>
        <w:t xml:space="preserve">Quelle: </w:t>
      </w:r>
      <w:r>
        <w:t>https://mcp.opencaselaw.ch/entscheid/zh_verwaltungsgericht__VB.2016.00527</w:t>
      </w:r>
    </w:p>
    <w:p>
      <w:r>
        <w:t>FR: ZH_VERWALTUNGSGERICHT VB.2016.00527 du 27 octobre 2016</w:t>
      </w:r>
    </w:p>
    <w:p>
      <w:r>
        <w:t>IT: ZH_VERWALTUNGSGERICHT VB.2016.00527 del 27 ottobre 2016</w:t>
      </w:r>
    </w:p>
    <w:p>
      <w:pPr>
        <w:pStyle w:val="Heading2"/>
      </w:pPr>
      <w:r>
        <w:t>Regeste</w:t>
      </w:r>
    </w:p>
    <w:p>
      <w:r>
        <w:t>Submission | Auslegung einer Offerte im Submissionsverfahren. Auf dem Deckblatt der Offerte der Mitbeteiligten ist ein höherer Angebotspreis aufgeführt als auf dem Preisblatt und in der zusammenfassenden Offertangabe. Bei dieser Konstellation stellt sich nicht die Frage nach der Zulässigkeit einer Angebotskorrektur, sondern nach der Auslegung der Offerte (E. 4.1). Eine nicht von vornherein klare Vertragsofferte bedarf der Auslegung; der wirkliche Wille der Mitbeteiligten ist zu eruieren (E. 4.2). Der in zwei Dokumenten (Preisblatt; zusammenfassende Offertangabe) angegebene tiefere Betrag entspricht der Summe der vorgängig angeführten Teilbeträge. Zudem wurden die beiden Dokumente zeitlich nach dem Deckblatt erstellt, was darauf schliessen lässt, dass sie den tatsächlichen Offertwillen zum Ausdruck bringen. Die Vorinstanz hat das Angebot der Mitbeteiligten zu Recht dahin gehend verstanden, dass diese eine Offerte über den tieferen Preis einreichen wollte und eingereicht hat (E. 4.3). Anhaltspunkte für eine Absprache oder ein anderes unzulässiges Verhalten sind nicht ersichtlich (E. 4.4). Die Mitbeteiligte hat das Verfahren durch die Angabe der unterschiedlichen Offertpreise verursacht, weshalb es sich rechtfertigt, ihr die Gerichtskosten aufzuerlegen, und sie die Beschwerdeführerin für das Beschwerdeverfahren zu entschädigen hat (E. 5). Abweisung.</w:t>
      </w:r>
    </w:p>
    <w:p>
      <w:pPr>
        <w:pStyle w:val="Heading2"/>
      </w:pPr>
      <w:r>
        <w:t>Erwägungen</w:t>
      </w:r>
    </w:p>
    <w:p>
      <w:r>
        <w:rPr>
          <w:b/>
        </w:rPr>
        <w:t>E. 1</w:t>
      </w:r>
    </w:p>
    <w:p>
      <w:r>
        <w:t>Das Gesuch der Beschwerdeführerin betreffend Erteilung der aufschiebenden Wirkung wird mit dem heutigen Entscheid gegenstandslos.</w:t>
      </w:r>
    </w:p>
    <w:p>
      <w:r>
        <w:rPr>
          <w:b/>
        </w:rPr>
        <w:t>E. 2</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zur Anwendung.</w:t>
      </w:r>
    </w:p>
    <w:p>
      <w:r>
        <w:rPr>
          <w:b/>
        </w:rPr>
        <w:t>E. 3</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1 in Verbindung mit § 70 des Verwaltungsrechtspflegegesetzes vom 24. Mai 1959 [VRG]). Ob eine solche reelle Chance besteht, ist aufgrund der gestellten Anträge und Parteivorbringen zu prüfen (vgl. BGE 141 II 14 E. 4.9). Die zweitplatzierte Beschwerdeführerin bringt vor, dass dem Zuschlag an die Mitbeteiligte aufgrund einer unzulässigen Korrektur eines Übertragungsfehlers ein zu tiefer Angebotspreis zugrunde gelegt worden sei. Würde sie damit durchdringen, resultierte für ihr Angebot ein höheres Punktetotal als für dasjenige der Mitbeteiligten; sie hätte folglich mit ihrem Angebot eine realistische Chance auf den Zuschlag. Zudem wäre sie grundsätzlich in der Lage und geeignet, den ausgeschriebenen Auftrag auszuführen. Ihre Legitimation ist zu bejahen .</w:t>
      </w:r>
    </w:p>
    <w:p>
      <w:r>
        <w:rPr>
          <w:b/>
        </w:rPr>
        <w:t>E. 4.1</w:t>
      </w:r>
    </w:p>
    <w:p>
      <w:r>
        <w:t>Das vorliegende Angebot der Mitbeteiligten enthält zwei unterschiedliche Offertpreise: Einerseits ist auf dem Deckblatt Fr. 11'867'876.55 aufgeführt, auf dem Preisblatt (S. 12 der Formblätter) sowie in der zusammenfassenden Offertangabe (Anhang A.9, Preiseingabe S. 1 f.) dagegen jeweils Fr. 11'440'757.75. In der Folge ist die Vergabebehörde vom tieferen Offertbetrag ausgegangen (Fr. 11'440'757.75) und hat der Bewertung der Angebote dementsprechend diesen Betrag zugrunde gelegt. Nach Auffassung der Beschwerdeführerin liegt darin eine unzulässige Korrektur der Offerte durch die Vergabebehörde. Bei der gegebenen Konstellation stellt sich indes nicht die Frage nach der Zulässigkeit einer Angebotskorrektur oder -bereinigung, sondern die Frage nach der Auslegung der Offerte.</w:t>
      </w:r>
    </w:p>
    <w:p>
      <w:r>
        <w:rPr>
          <w:b/>
        </w:rPr>
        <w:t>E. 4.2</w:t>
      </w:r>
    </w:p>
    <w:p>
      <w:r>
        <w:t>Wie bei jedem vom Wortlaut her nicht gänzlich eindeutigen Vertragstext bedarf auch eine nicht von vornherein klare Vertragsofferte der Auslegung (vgl. etwa zur Auslegung einer Offerte VGr, 18. Dezember 2014, VB.2014.00546, E  4.1). Angesichts der unterschiedlichen Angebotspreise stellt sich die Frage, welcher der beiden Beträge dem wirklichen Willen der Mitbeteiligten entsprochen hat. Denn die nach der Rechtsprechung im Vordergrund stehende subjektive Vertragsauslegung bezieht sich auf den (wirklichen) Willen der Vertragsparteien; ergänzend kommt das Vertrauensprinzip zur Anwendung (BGr, 22. Januar 2014, 2C_1055/2012, E. 2.1, mit Hinweisen).</w:t>
      </w:r>
    </w:p>
    <w:p>
      <w:r>
        <w:rPr>
          <w:b/>
        </w:rPr>
        <w:t>E. 4.3</w:t>
      </w:r>
    </w:p>
    <w:p>
      <w:r>
        <w:t>Im Rahmen der Auslegung fällt vorliegend ins Gewicht, dass sich der in der Offerte zweimal angegebene tiefere Betrag aus im Einzelnen aufgeführten Teilbeträgen zusammensetzt. Der Betrag von Fr. 11'440'757.75 entspricht der Summe der vorgängig angeführten 20 Teilsummen, unter Subtraktion der verschiedenen Abzüge, und erscheint daher als plausibel. Sodann wurde der entsprechende Betrag im Preisblatt aufgeführt, wiederum unter Angabe derselben Rabatte. Demgegenüber findet der im Deckblatt angegebene Betrag keine Stütze in den übrigen Akten und ist dementsprechend nicht nachvollziehbar. Schliesslich fällt ins Gewicht, dass das Deckblatt vom 10. August 2016, das Leistungsverzeichnis und das Preisblatt jedoch vom 11. August 2016 datieren. Es entspricht allgemeiner Lebenserfahrung, dass die neuere Version den tatsächlichen Offertwillen zum Ausdruck bringt. Vor diesem Hintergrund hat die Vorinstanz die Offerte der Mitbeteiligten zu Recht dahin gehend verstanden und ausgelegt, dass diese eine Offerte über den Preis von Fr. 11'440'757.75 einreichen wollte und eingereicht hat.</w:t>
      </w:r>
    </w:p>
    <w:p>
      <w:r>
        <w:rPr>
          <w:b/>
        </w:rPr>
        <w:t>E. 4.4</w:t>
      </w:r>
    </w:p>
    <w:p>
      <w:r>
        <w:t>Die Beschwerdeführerin stellt allerdings auch die Frage in den Raum, ob die Mitbeteiligte ihr Angebot nachträglich – also nach der Offertöffnung – abgeändert habe. Diese Annahme, die insinuieren würde, dass die Mitbeteiligte nach erfolgter Offertöffnung ein neues Leistungsverzeichnis mit neuem Preisblatt eingereicht sowie dass die Vergabebehörde das ursprüngliche Leistungsverzeichnis unterdrückt und durch das neue ersetzt hätte, erscheint indes als höchst unwahrscheinlich. Dagegen spricht auch, dass die elektronische Offerte der Mitbeteiligten, wie sie dem Gericht vorliegt, als Änderungszeit den 11. August 2016, 7.25 Uhr, verzeichnet, der elektronische Anhang A.9 (Preiseingabe) als Änderungszeit 7.21 Uhr und die elektronischen Formblätter schliesslich 7.24 Uhr verzeichnen. Der Eingang der Offerte beim Beschwerdegegner erfolgte um 8.51 Uhr und die Offertöffnung schliesslich um 11.00 Uhr.</w:t>
      </w:r>
    </w:p>
    <w:p>
      <w:r>
        <w:rPr>
          <w:b/>
        </w:rPr>
        <w:t>E. 4.5</w:t>
      </w:r>
    </w:p>
    <w:p>
      <w:r>
        <w:t>Bei der gegebenen Sachlage ist somit zusammenfassend von einer rechtmässigen Auslegung der Offerte durch die Vergabebehörde auszugehen. Für eine Absprache zwischen Vergabebehörde und Mitbeteiligter oder für ein anderes unzulässiges Verhalten bestehen keine Anhaltspunkte. Die Vergabebehörde hat der Bewertung der Angebote ohne Rechtsverletzung den tieferen Offertbetrag im Angebot der Mitbeteiligten (Fr 11'440'757.75) zugrunde gelegt. Dies führt zur Abweisung der Beschwerde.</w:t>
      </w:r>
    </w:p>
    <w:p>
      <w:r>
        <w:rPr>
          <w:b/>
        </w:rPr>
        <w:t>E. 5</w:t>
      </w:r>
    </w:p>
    <w:p>
      <w:r>
        <w:t>Die Beschwerdeführerin unterliegt zwar im vorliegenden Beschwerdeverfahren. Dabei scheint es allerdings offensichtlich, dass die Angabe der unterschiedlichen Offertpreise die Ursache für die Anhebung des Beschwerdeverfahrens war. Dies rechtfertigt es, die Gerichtskosten in Anwendung des Verursacherprinzips der Mitbeteiligten aufzuerlegen (vgl. § 13 Abs. 2 Satz 2 VRG; Kaspar Plüss in: Alain Griffel [Hrsg.], Kommentar zum Verwaltungsrechtspflegegesetz des Kantons Zürich, 3. A., Zürich etc. 2014 [Kommentar VRG], § 13 N. 55 ff.). Dementsprechend ist die Mitbeteiligte auch zu verpflichten, die Beschwerdeführerin für das Beschwerdeverfahren zu entschädigen (vgl. § 17 Abs. 2 lit. a VRG; Plüss, Kommentar VRG, § 17 N. 25 ff.). Als angemessene Entschädigung für den Beizug des Rechtsvertreters erscheint ein Betrag von Fr. 6'000.-. Auf diesen Betrag ist der Beschwerdeführerin jedoch entgegen ihrem Antrag keine Mehrwertsteuer zuzusprechen; es ist davon auszugehen, dass sie vorsteuerabzugsberechtigt ist. Die Vergabebehörde ist mit der Beschwerdeantwort im Wesentlichen erst ihrer Pflicht zur Entscheidbegründung nachgekommen; damit bleibt ihr eine Parteientschädigung versagt.</w:t>
      </w:r>
    </w:p>
    <w:p>
      <w:r>
        <w:rPr>
          <w:b/>
        </w:rPr>
        <w:t>E. 6</w:t>
      </w:r>
    </w:p>
    <w:p>
      <w:r>
        <w:t>Der Auftragswert übersteigt den im Staatsvertragsbereich massgeblichen Schwellenwert (Art. 1 lit. c der Verordnung des WBF vom 23. November 2015 über die Anpassung der Schwellenwerte im öffentlichen Beschaffungswesen für die Jahre 2016 und 2017 [SR 172.056.12]). Gegen diesen Entscheid ist daher die Beschwerde in öffentlich-rechtlichen Angelegenheiten nach Art. 82 ff. des Bundesgerichtsgesetzes vom 17. Juni 2005 (BGG) zulässig, sofern sich eine Rechtsfrage von grundsätzlicher Bedeutung stellt (Art. 83 lit. f BGG); andernfalls steht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