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VB.2016.00462 vom 1. November 2016</w:t>
      </w:r>
    </w:p>
    <w:p>
      <w:r>
        <w:t>ZH Verwaltungsgericht, 2016-11-01, DE</w:t>
      </w:r>
    </w:p>
    <w:p>
      <w:r>
        <w:rPr>
          <w:b/>
        </w:rPr>
        <w:t xml:space="preserve">Quelle: </w:t>
      </w:r>
      <w:r>
        <w:t>https://mcp.opencaselaw.ch/entscheid/zh_verwaltungsgericht__VB.2016.00462</w:t>
      </w:r>
    </w:p>
    <w:p>
      <w:r>
        <w:t>FR: ZH_VERWALTUNGSGERICHT VB.2016.00462 du 1 novembre 2016</w:t>
      </w:r>
    </w:p>
    <w:p>
      <w:r>
        <w:t>IT: ZH_VERWALTUNGSGERICHT VB.2016.00462 del 1 novembre 2016</w:t>
      </w:r>
    </w:p>
    <w:p>
      <w:pPr>
        <w:pStyle w:val="Heading2"/>
      </w:pPr>
      <w:r>
        <w:t>Regeste</w:t>
      </w:r>
    </w:p>
    <w:p>
      <w:r>
        <w:t>Betreuung in einer Kinderkrippe | [Zuständigkeit der Verwaltungsbehörden] Das Verhältnis zwischen einer Gemeinde als Betreiberin einer Kinderkrippe und den die Krippe besuchenden Kindern bzw. deren Eltern ist öffentlichrechtlicher Natur. Entsprechende Streitigkeiten sind deshalb durch die Verwaltungsrechtspflege zu beurteilen (E. 2). Teilweise Gutheissung und Rückweisung an den Bezirksrat.</w:t>
      </w:r>
    </w:p>
    <w:p>
      <w:pPr>
        <w:pStyle w:val="Heading2"/>
      </w:pPr>
      <w:r>
        <w:t>Erwägungen</w:t>
      </w:r>
    </w:p>
    <w:p>
      <w:r>
        <w:rPr>
          <w:b/>
        </w:rPr>
        <w:t>E. 4</w:t>
      </w:r>
    </w:p>
    <w:p>
      <w:r>
        <w:t>Beim vorliegenden Entscheid handelt es sich um einen Zwischenentscheid über die Zuständigkeit, gegen den nach Art. 92 Abs. 1 des Bundesgerichtsgesetzes vom 17. Juni 2005 (BGG, SR 173.110) die Beschwerde zulässig ist; eine spätere Anfechtung mit dem Endentscheid ist nicht mehr zulässig (Art. 92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