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VB.2016.00438 vom 9. November 2016</w:t>
      </w:r>
    </w:p>
    <w:p>
      <w:r>
        <w:t>ZH Verwaltungsgericht, 2016-11-09, DE</w:t>
      </w:r>
    </w:p>
    <w:p>
      <w:r>
        <w:rPr>
          <w:b/>
        </w:rPr>
        <w:t xml:space="preserve">Quelle: </w:t>
      </w:r>
      <w:r>
        <w:t>https://mcp.opencaselaw.ch/entscheid/zh_verwaltungsgericht__VB.2016.00438</w:t>
      </w:r>
    </w:p>
    <w:p>
      <w:r>
        <w:t>FR: ZH_VERWALTUNGSGERICHT VB.2016.00438 du 9 novembre 2016</w:t>
      </w:r>
    </w:p>
    <w:p>
      <w:r>
        <w:t>IT: ZH_VERWALTUNGSGERICHT VB.2016.00438 del 9 novembre 2016</w:t>
      </w:r>
    </w:p>
    <w:p>
      <w:pPr>
        <w:pStyle w:val="Heading2"/>
      </w:pPr>
      <w:r>
        <w:t>Regeste</w:t>
      </w:r>
    </w:p>
    <w:p>
      <w:r>
        <w:t>Sozialhilfe | Sozialhilfe: Wiederherstellung der aufschiebenden Wirkung, Gehörsverletzung [Die Beschwerdeführerin entzog einem allfälligen Rekurs die aufschiebende Wirkung. Der Bezirksrat stellte dieselbe auf Antrag des Beschwerdegegners mit Präsidialverfügung wieder her.] Beschwerdelegitimation der Gemeinde (E. 1.3). Die Vorinstanz stellte der Beschwerdeführerin den Rekurs des Beschwerdegegners zwar zu. Allerdings konnte die Beschwerdeführerin zu dessen Antrag auf Wiederherstellung der aufschiebenden Wirkung nicht Stellung nehmen, weshalb eine Gehörsverletzung zu bejahen ist (E. 4.1). Eine Heilung der Gehörsverletzung ist im vorliegenden Fall nicht möglich, weil ein schwerer Verfahrensfehler vorliegt und das Verwaltungsgericht den Ermessensspielraum der Vorinstanz beim Entscheid über die Wiederherstellung der aufschiebenden Wirkung nicht frei überprüfen kann (E. 4.2). Gutheissung. Rückweisung zur neuen Entscheidung.</w:t>
      </w:r>
    </w:p>
    <w:p>
      <w:pPr>
        <w:pStyle w:val="Heading2"/>
      </w:pPr>
      <w:r>
        <w:t>Erwägungen</w:t>
      </w:r>
    </w:p>
    <w:p>
      <w:r>
        <w:rPr>
          <w:b/>
        </w:rPr>
        <w:t>E. 3.1</w:t>
      </w:r>
    </w:p>
    <w:p>
      <w:r>
        <w:t>Wird über den Entzug bzw. die Wiederherstellung der aufschiebenden Wirkung nicht im Endentscheid entschieden, ist darüber in einem summarischen, einfachen und raschen Verfahren zu verfügen. Die Verfahrensbeteiligten haben dabei Anspruch auf Gewährung des rechtlichen Gehörs. Ist Gefahr in Verzug, d.h. wenn andernfalls gewichtige Anliegen und Interessen gefährdet sind, kann die Anhörung auch nachträglich erfolgen. Dies darf jedoch nicht leichthin angenommen werden (Kiener, § 25 N. 35 f. und § 6 N. 30). Zum Anspruch auf Gewährung des rechtlichen Gehörs gemäss Art. 29 Abs. 1 der Bundesverfassung vom 18. April 1999 (BV) gehört unter anderem auch das Recht auf Stellungnahme zu den Vorbringen der Gegenpartei (sog. Replikrecht). In sämtlichen gerichtlichen Verfahren muss jede dem Gericht eingereichte Stellungnahme den Beteiligten zur Kenntnis gebracht und diesen wiederum Gelegenheit zur Stellungnahme gegeben werden (BGE 133 I 100 E. 4.6; Alain Griffel, Kommentar VRG, § 8 N. 32).</w:t>
      </w:r>
    </w:p>
    <w:p>
      <w:r>
        <w:rPr>
          <w:b/>
        </w:rPr>
        <w:t>E. 3.2</w:t>
      </w:r>
    </w:p>
    <w:p>
      <w:r>
        <w:t>Der Anspruch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 vgl. VGr, 17. März 2016, VB.2015.00772, E. 4.2 mit weiteren Hinweisen; Griffel, § 8 N. 37 f.) . Eine Heilung ist darüber hinaus nicht möglich, wenn der Vorinstanz ein Ermessen zukommt, welches die obere Instanz nicht uneingeschränkt überprüfen kann (Donatsch, § 64 N. 11) .</w:t>
      </w:r>
    </w:p>
    <w:p>
      <w:r>
        <w:rPr>
          <w:b/>
        </w:rPr>
        <w:t>E. 4.1</w:t>
      </w:r>
    </w:p>
    <w:p>
      <w:r>
        <w:t>Der Beschwerdeführerin wurde der Rekurs des Beschwerdegegners vom 22. Juni 2016 im Rahmen der Präsidialverfügung vom 30. Juni 2016 zwar zugestellt. Sie konnte zu seinem Antrag auf Wiederherstellung der aufschiebenden Wirkung indessen nicht Stellung nehmen, weil die Vorinstanz in derselben Präsidialverfügung bereits die aufschiebende Wirkung des Rekurses wieder herstellte. Dabei stellte die Vorinstanz zumindest teilweise auf die Angaben des Beschwerdegegners in der Rekursschrift ab. Es ist nicht ersichtlich, inwiefern im vorliegenden Fall Gefahr in Verzug gewesen sein könnte. Der Beschwerdegegner wurde durch den Beschluss der Beschwerdeführerin unter anderem verpflichtet, am Beschäftigungsprogramm E teilzunehmen und gewisse Unterlagen einzureichen. Dem Beschwerdegegner können die Sozialhilfeleistungen nicht ohne Weiteres gekürzt oder eingestellt werden, braucht es doch dafür vorab einen anfechtbaren Kürzungs- oder Einstellungsentscheid. Mit dem Entzug der aufschiebenden Wirkung lief der Beschwerdegegner folglich noch nicht Gefahr, seine Sozialhilfeleistungen zu verlieren. Die Angelegenheit war somit nicht derart dringlich, dass die Vorinstanz der Beschwerdeführerin das rechtliche Gehör nicht hätte gewähren können. Die Vorinstanz macht denn auch nicht geltend, dass Gefahr in Verzug gewesen sei. Mit diesem Vorgehen verletzte die Vorinstanz das rechtliche Gehör der Beschwerdeführerin.</w:t>
      </w:r>
    </w:p>
    <w:p>
      <w:r>
        <w:rPr>
          <w:b/>
        </w:rPr>
        <w:t>E. 4.2</w:t>
      </w:r>
    </w:p>
    <w:p>
      <w:r>
        <w:t>Die Beschwerdeführerin konnte zwar im Beschwerdeverfahren vorbringen, inwiefern sie mit der Wiederherstellung der aufschiebenden Wirkung nicht einverstanden sei . Fraglich ist, ob damit die Gehörsverletzung geheilt werden kann. Eine Verletzung des Re­plikrechts ist in der Regel als schwere Gehörsverletzung einzustufen, weil der betroffenen Person damit die Möglichkeit genommen wird, sich im Verfahren zu äussern (vgl. VGr, 23. Juni 2016, VB.2015.00797, E. 2.2; VGr, 15. September 2014, VB.2014.00365, E. 2.4). Die Vorinstanz stützte sich in der Präsidialverfügung vom 30. Juni 2016 auf Angaben des Beschwerdegegners ab, ohne deren Richtigkeit vorab mittels Beizug der Akten geprüft zu haben. Erst mit der angefochtenen Präsidialverfügung forderte die Vorinstanz die Beschwerdeführerin auf, die vollständigen Akten einzureichen. Es ist der Beschwerdeführerin deshalb zuzustimmen, dass die Vorinstanz den Sachverhalt ungenügend feststellte (vgl. § 50 Abs. 1 in Verbindung mit § 20 Abs. 1 lit. b VRG; vorn E. 2). Die Beschwerdeführerin bringt in ihrer Beschwerdeschrift denn auch Argumente vor, mit denen sich die Vorinstanz nicht befasste und die nicht von vorneherein als unbegründet zu qualifizieren sind. Die Vorinstanz wird sich mit diesen Vorbringen auseinanderzusetzen haben. Die Rückweisung führt daher nicht zu einem formalistischen Leerlauf. Es kann denn auch nicht davon ausgegangen werden, dass die Rückweisung zu einer unnötigen Verfahrensverzögerung führen würde. Es liegt ein schwerer Verfahrensfehler vor (vgl. vorn E. 2), und auch die Beschwerdeführerin spricht sich im Rahmen der Beschwerdebegründung für die Rückweisung an die Vorinstanz aus. Unter diesen Umständen und aufgrund der dem Verwaltungsgericht zustehenden beschränkten Kognition im Sinn von § 50 Abs. 1 in Verbindung mit § 20 Abs. 1 lit. a und b VRG , welche eine uneingeschränkte Überprüfung des Ermessensspielraums der Vorinstanz beim Entscheid über die Wiederherstellung der aufschiebenden Wirkung nicht zulässt, ist vorliegend eine Heilung der Gehörsverletzung im Beschwerdeverfahren nicht möglich (vgl. Kiener, § 25 N. 26 und Donatsch, § 64 N. 11). Somit ist die Beschwerde gutzuheissen und Dispositivziffer III der Präsidialverfügung des Bezirksrats D vom 30. Juni 2016 aufzuheben. Die Sache ist zur Gewährung des rechtlichen Gehörs, Vervollständigung des Sachverhalts und zum Neuentscheid an die Vorinstanz zurückzuweisen.</w:t>
      </w:r>
    </w:p>
    <w:p>
      <w:r>
        <w:rPr>
          <w:b/>
        </w:rPr>
        <w:t>E. 5.1</w:t>
      </w:r>
    </w:p>
    <w:p>
      <w:r>
        <w:t>Die Rückweisung ist auf die von der Vorinstanz zu vertretende Gehörsverletzung zurückzuführen. Es rechtfertigt sich deshalb, die Gerichtskosten nach Massgabe des Verursacherprinzips der Vorinstanz aufzuerlegen (§ 65a Abs. 2 in Verbindung mit § 13 Abs. 2 VRG; Plüss, § 13 N. 59).</w:t>
      </w:r>
    </w:p>
    <w:p>
      <w:r>
        <w:rPr>
          <w:b/>
        </w:rPr>
        <w:t>E. 5.2</w:t>
      </w:r>
    </w:p>
    <w:p>
      <w:r>
        <w:t>Die Beschwerdeführerin beantragt eine Parteientschädigung . Gestützt auf § 17 Abs. 2 lit. a VRG hat das obsiegende Gemeinwesen in der Regel keinen Anspruch auf eine Partei ­ entschädigung , weil die Erhebung und Beantwortung von Rechtsmitteln zur üblichen Amts ­ tätigkeit gehört (Plüss, § 17 N. 51). Vorliegend besteht kein Anlass, von diesem Grundsatz abzuweichen. Der seitens der Beschwerdeführerin vor Verwaltungsgericht zu leistende Aufwand erscheint nicht als aussergewöhnlich. Dementsprechend ist ihr keine Parteientschädigung zuzusprechen.</w:t>
      </w:r>
    </w:p>
    <w:p>
      <w:r>
        <w:rPr>
          <w:b/>
        </w:rPr>
        <w:t>E. 6</w:t>
      </w:r>
    </w:p>
    <w:p>
      <w:r>
        <w:t>Der vorliegende Rückweisungsentscheid stellt einen Zwischenentscheid dar (BGE 134 II 137 E. 1.3.2).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