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VB.2016.00418 vom 11. August 2016</w:t>
      </w:r>
    </w:p>
    <w:p>
      <w:r>
        <w:t>ZH Verwaltungsgericht, 2016-08-11, DE</w:t>
      </w:r>
    </w:p>
    <w:p>
      <w:r>
        <w:rPr>
          <w:b/>
        </w:rPr>
        <w:t xml:space="preserve">Quelle: </w:t>
      </w:r>
      <w:r>
        <w:t>https://mcp.opencaselaw.ch/entscheid/zh_verwaltungsgericht__VB.2016.00418</w:t>
      </w:r>
    </w:p>
    <w:p>
      <w:r>
        <w:t>FR: ZH_VERWALTUNGSGERICHT VB.2016.00418 du 11 août 2016</w:t>
      </w:r>
    </w:p>
    <w:p>
      <w:r>
        <w:t>IT: ZH_VERWALTUNGSGERICHT VB.2016.00418 del 11 agosto 2016</w:t>
      </w:r>
    </w:p>
    <w:p>
      <w:pPr>
        <w:pStyle w:val="Heading2"/>
      </w:pPr>
      <w:r>
        <w:t>Regeste</w:t>
      </w:r>
    </w:p>
    <w:p>
      <w:r>
        <w:t>Massnahmen nach Gewaltschutzgesetz | Massnahmen nach Gewaltschutzgesetz: Frist zur Stellung des Verlängerungsgesuchs. Der Haftrichter trat auf das Gesuch um Verlängerung der polizeilichen Schutzmassnahmen der Beschwerdeführerin nicht ein, da er dieses als um einen Tag verspätet gestellt erachtete. Gemäss § 6 Abs. 1 GSG kann die gefährdete Person innert acht Tagen nach Geltungsbeginn der Schutzmassnahme beim Gericht um deren Verlängerung ersuchen. Das Fristende fiel vorliegend auf einen Samstag, weshalb sich die Frist gemäss § 11 Abs. 1 Satz 2 VRG auf den nächsten Montag verlängerte. Die Beschwerdeführerin stellte ihr Gesuch am letzten Tag der somit verlängerten Frist und damit noch rechtzeitig, weshalb der Haftrichter zu Unrecht nicht darauf eintrat. Gutheissung. Aufhebung des haftrichterlichen Entscheids und Rückweisung zum Neuentscheid. Kostenauflage an die Vorinstanz.</w:t>
      </w:r>
    </w:p>
    <w:p>
      <w:pPr>
        <w:pStyle w:val="Heading2"/>
      </w:pPr>
      <w:r>
        <w:t>Erwägungen</w:t>
      </w:r>
    </w:p>
    <w:p>
      <w:r>
        <w:rPr>
          <w:b/>
        </w:rPr>
        <w:t>E. 3</w:t>
      </w:r>
    </w:p>
    <w:p>
      <w:r>
        <w:t>Abteilung VB.2016.00418 Urteil der Einzelrichterin vom 11. August 2016 Mitwirkend: Verwaltungsrichterin Silvia Hunziker, Gerichtsschreiberin Cyrielle Söllner Tropeano. In Sachen A, Beschwerdeführerin, gegen B, Beschwerdegegner, und Kantonspolizei Zürich, Fachstelle Häusliche Gewalt, Mitbeteiligte, betreffend Massnahmen nach Gewaltschutzgesetz, hat sich ergeben: I. A. A (geboren 1973) und B (geboren 1975) sind seit Juli 2015 verheiratet und leben seit November 2015 mit den beiden Töchtern von A gemeinsam in der Schweiz. B. Mit Verfügung vom 9. Juli 2016 ordnete die Kantonspolizei Zürich gegenüber B für die Dauer von jeweils 14 Tagen die Wegweisung aus der gemeinsamen Wohnung, ein Rayonverbot um die Wohnung sowie ein Kontaktverbot gegenüber A und deren beiden Töchtern an; unter Androhung der Ungehorsamsstrafe nach Art. 292 des Strafgesetzbuchs (StGB). II. Mit Eingabe vom 18. Juli 2016 ersuchte A das Zwangsmassnahmengericht am Bezirksgericht D um Verlängerung der Schutzmassnahmen gemäss Verfügung der Kantonspolizei Zürich vom 9. Juli 2016 um vier Wochen. Mit Verfügung vom 19. Juli 2016 trat das Zwangsmassnahmengericht am Bezirksgericht D auf das Gesuch um Verlängerung der Schutzmassnahmen wegen Verspätung nicht ein und auferlegte A die Gerichtskosten von Fr. 100.-. III. Dagegen gelangte A mit Beschwerde vom 22. Juli 2016 an das Verwaltungsgericht und beantragte die Aufhebung der Verfügung des Bezirksgerichts D vom 19. Juli 2016 sowie die Verlängerung der polizeilichen Schutzmassnahmen um vier Wochen. Zudem stellte sie den Antrag, der Beschwerde sei die aufschiebende Wirkung zu erteilen und die Verlängerung der Schutzmassnahmen sei superprovisorisch anzuordnen; unter Kosten- und Entschädigungsfolgen zulasten der Staatskasse. Mit Präsidialverfügung vom 25. Juli 2016 wurde das Gesuch von A um Erteilung der aufschiebenden Wirkung der Beschwerde abgewiesen. B sowie der Kantonspolizei Zürich wurde je eine Frist von drei Tagen angesetzt, um zum Gesuch um Erlass vorsorglicher Massnahmen Stellung zu nehmen, unter Säumnisandrohung der Annahme des Verzichts auf Stellungnahme. B liess sich innert Frist nicht vernehmen. Die Kantonspolizei Zürich teilte am 26. Juli 2016 ihren Verzicht auf die Mitbeantwortung der Beschwerde mit. A und B liessen sich hierauf nicht mehr vernehmen. Die Einzelrichterin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Einzelrichterin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unter anderem durch Ausübung oder Androhung von Gewalt (§ 2 Abs. 1 lit. a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Die gerichtlich verfügten Schutzmassnahmen dürfen insgesamt drei Monate nicht übersteigen (§ 6 Abs. 3 GSG).</w:t>
      </w:r>
    </w:p>
    <w:p>
      <w:r>
        <w:rPr>
          <w:b/>
        </w:rPr>
        <w:t>E. 3.1</w:t>
      </w:r>
    </w:p>
    <w:p>
      <w:r>
        <w:t>Die Vorinstanz erachtete das Gesuch der Beschwerdeführerin um Verlängerung der Schutzmassnahmen als um einen Tag verspätet gestellt. Es ist zu prüfen, ob die Vorinstanz demzufolge zu Recht nicht darauf eintrat.</w:t>
      </w:r>
    </w:p>
    <w:p>
      <w:r>
        <w:rPr>
          <w:b/>
        </w:rPr>
        <w:t>E. 3.2</w:t>
      </w:r>
    </w:p>
    <w:p>
      <w:r>
        <w:t>Gemäss § 6 Abs. 1 GSG kann die gefährdete Person innert acht Tagen nach Geltungsbeginn der Schutzmassnahmen beim Gericht um deren Verlängerung ersuchen. Die Schutzmassnahmen wurden am 9. Juli 2016 angeordnet und an diesem Tag auch den Parteien eröffnet. Die Frist für das Gesuch um Verlängerung begann somit am 9. Juli 2016 zu laufen. Der achte Tag fiel auf Samstag, 16. Juli 2016. Fällt der letzte Tag der Frist auf einen Samstag oder einen öffentlichen Ruhetag, so endet die Frist am nächsten Montag (§ 11 Abs. 1 Satz 2 VRG; vgl. auch Art. 142 Abs. 3 ZPO). Folglich endete die Frist im vorliegenden Fall am Montag, 18. Juli 2016. Schriftliche Eingaben müssen spätestens am letzten Tag der Frist bei der Behörde eintreffen oder zu deren Handen der schweizerischen Post übergeben sein (§ 11 Abs. 2 Satz 1 VRG; vgl. auch Art. 143 Abs. 1 ZPO). Wie die Vorinstanz in ihrer Verfügung vom 19. Juli 2016 ausführt, wurde das Verlängerungsgesuch von der Beschwerdeführerin am 18. Juli 2016 der Post übergeben, was durch den Poststempel belegt ist. Da es sich beim 18. Juli 2016 um den letzten Tag der Frist handelte, erfolgte die Eingabe noch rechtzeitig. Demzufolge ist die Vorinstanz zu Unrecht auf das Gesuch um Verlängerung der Schutzmassnahmen der Beschwerdeführerin nicht eingetreten.</w:t>
      </w:r>
    </w:p>
    <w:p>
      <w:r>
        <w:rPr>
          <w:b/>
        </w:rPr>
        <w:t>E. 3.3</w:t>
      </w:r>
    </w:p>
    <w:p>
      <w:r>
        <w:t>Die Verfügung des Haftrichters des Bezirksgerichts D vom 19. Juli 2016 ist somit aufzuheben und die Sache zum Neuentscheid an die Vorinstanz zurückzuweisen. Mit dem vorliegenden Entscheid erübrigt sich die Anordnung von vorsorglichen Massnahmen durch das Verwaltungsgericht, da solche ohnehin nur bis zum Entscheid Bestand gehabt hätten (vgl. Regina Kiener in: Alain Griffel [Hrsg.], Kommentar zum Verwaltungsrechtspflegegesetz des Kantons Zürich [VRG], 3. A., Zürich etc. 2014, § 6 N. 29). Das Gesuch der Beschwerdeführerin um Erlass vorsorglicher Massnahmen ist deshalb als gegenstandslos geworden abzuschreiben. Der Haftrichter hat gemäss § 9 Abs. 1 GSG innert vier Arbeitstagen über Gesuche um Verlängerung der Schutzmassnahmen im Sinn von § 6 GSG zu entscheiden. Demzufolge hat der Haftrichter spätestens innert vier Arbeitstagen ab Erhalt dieses Rückweisungsentscheids materiell über die beantragte Verlängerung der Schutzmassnahmen zu befinden. Angesichts des mit dem vorliegenden Beschwerdeverfahren verbundenen Zeitablaufs und des Gesuchs der Beschwerdeführerin um superprovisorische Massnahmen wird der Haftrichter zu prüfen haben, ob der Erlass vorsorglicher Massnahmen für die Zeitdauer bis zu seinem Entscheid notwendig ist.</w:t>
      </w:r>
    </w:p>
    <w:p>
      <w:r>
        <w:rPr>
          <w:b/>
        </w:rPr>
        <w:t>E. 4</w:t>
      </w:r>
    </w:p>
    <w:p>
      <w:r>
        <w:t>Die Rückweisung ist auf die von der Vorinstanz zu vertretende, sich als falsch herausstellende Fristberechnung zurückzuführen. Nach Massgabe des Verursacherprinzips rechtfertigt es sich daher, die Gerichtskosten der Vorinstanz aufzuerlegen (§ 65a Abs. 2 in Verbindung mit § 13 Abs. 2 VRG; VGr, 30. Juni 2014, VB.2014.00272, E. 5.2; 10. September 2012, VB.2012.00393, E. 3.5; 25. Juli 2012, VB.2012.00434, E. 4). Parteientschädigungen wurden keine verlangt.</w:t>
      </w:r>
    </w:p>
    <w:p>
      <w:r>
        <w:rPr>
          <w:b/>
        </w:rPr>
        <w:t>E. 5</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