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VB.2016.00360 vom 27. Juli 2016</w:t>
      </w:r>
    </w:p>
    <w:p>
      <w:r>
        <w:t>ZH Verwaltungsgericht, 2016-07-27, DE</w:t>
      </w:r>
    </w:p>
    <w:p>
      <w:r>
        <w:rPr>
          <w:b/>
        </w:rPr>
        <w:t xml:space="preserve">Quelle: </w:t>
      </w:r>
      <w:r>
        <w:t>https://mcp.opencaselaw.ch/entscheid/zh_verwaltungsgericht__VB.2016.00360</w:t>
      </w:r>
    </w:p>
    <w:p>
      <w:r>
        <w:t>FR: ZH_VERWALTUNGSGERICHT VB.2016.00360 du 27 juillet 2016</w:t>
      </w:r>
    </w:p>
    <w:p>
      <w:r>
        <w:t>IT: ZH_VERWALTUNGSGERICHT VB.2016.00360 del 27 luglio 2016</w:t>
      </w:r>
    </w:p>
    <w:p>
      <w:pPr>
        <w:pStyle w:val="Heading2"/>
      </w:pPr>
      <w:r>
        <w:t>Regeste</w:t>
      </w:r>
    </w:p>
    <w:p>
      <w:r>
        <w:t>Stimmrechtsrekurs | [Die Vorinstanz trat auf einen Stimmrechtsrekurs, in dem geltend gemacht wurde, der angefochtene Parlamentsbeschluss verstosse gegen die Zuständigkeitsordnung, mit der Begründung nicht ein, spätestens mit der Einladung zur Parlamentssitzung sei der Inhalt dieses Beschlusses allgemein bekannt gewesen, weshalb die Anfechtungsfrist in diesem Zeitpunkt zu laufen begonnen habe.] Die Rechtsprechung, wonach bei Urnenabstimmungen angeblich das Stimmrecht verletzende Vorbereitungshandlungen umgehend angefochten werden müssen, lässt sich nicht auf die vorliegende Konstellation übertragen. Hier ist die geltend gemachte Verletzung der Zuständigkeitsordnung während der Vorbereitung des Parlamentsbeschlusses nur theoretischer Natur und konkretisiert sich erst durch den tatsächlichen Parlamentsbeschluss; erst in diesem Zeitpunkt ist eine Anfechtung möglich, weshalb auch die Anfechtungsfrist nicht früher zu laufen beginnen kann (E. 2.3). Gutheissung.</w:t>
      </w:r>
    </w:p>
    <w:p>
      <w:pPr>
        <w:pStyle w:val="Heading2"/>
      </w:pPr>
      <w:r>
        <w:t>Erwägungen</w:t>
      </w:r>
    </w:p>
    <w:p>
      <w:r>
        <w:rPr>
          <w:b/>
        </w:rPr>
        <w:t>E. 4</w:t>
      </w:r>
    </w:p>
    <w:p>
      <w:r>
        <w:t>Die Gerichtskosten sind auf die Gerichtskasse zu nehmen (§ 65a Abs. 2 in Verbindung mit § 13 Abs. 4 VRG).</w:t>
      </w:r>
    </w:p>
    <w:p>
      <w:r>
        <w:rPr>
          <w:b/>
        </w:rPr>
        <w:t>E. 5</w:t>
      </w:r>
    </w:p>
    <w:p>
      <w:r>
        <w:t>Letztinstanzliche kantonale Rückweisungsentscheide sind als Zwischenentscheide im Sinn von Art. 93 des Bundesgerichtsgesetzes vom 17. Juni 2005 (BGG, SR 173.110) zu qualifizieren (BGE 138 I 143 E. 1.2, 133 V 477 E. 4.2; Felix Uhlmann, Basler Kommentar, 2011, Art. 90 BGG N. 9 Abs.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