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VB.2016.00281 vom 6. Juli 2016</w:t>
      </w:r>
    </w:p>
    <w:p>
      <w:r>
        <w:t>ZH Verwaltungsgericht, 2016-07-06, DE</w:t>
      </w:r>
    </w:p>
    <w:p>
      <w:r>
        <w:rPr>
          <w:b/>
        </w:rPr>
        <w:t xml:space="preserve">Quelle: </w:t>
      </w:r>
      <w:r>
        <w:t>https://mcp.opencaselaw.ch/entscheid/zh_verwaltungsgericht__VB.2016.00281</w:t>
      </w:r>
    </w:p>
    <w:p>
      <w:r>
        <w:t>FR: ZH_VERWALTUNGSGERICHT VB.2016.00281 du 6 juillet 2016</w:t>
      </w:r>
    </w:p>
    <w:p>
      <w:r>
        <w:t>IT: ZH_VERWALTUNGSGERICHT VB.2016.00281 del 6 luglio 2016</w:t>
      </w:r>
    </w:p>
    <w:p>
      <w:pPr>
        <w:pStyle w:val="Heading2"/>
      </w:pPr>
      <w:r>
        <w:t>Regeste</w:t>
      </w:r>
    </w:p>
    <w:p>
      <w:r>
        <w:t>Aufenthaltsbewilligung (Familiennachzug) | Zustellfiktion bei Nichtbekanntgabe einer Adressänderung (E. 2.2). Nichteintreten wegen Säumnis des Beschwerdeführers mit der Kaution (E. 2.3).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im nachstehenden Verfügungsdispositiv ist Folgendes zu erläutern (siehe auch Plüss, § 15 N. 66): Soweit im Hintergrund ein Anwesenheitsanspruch der Beschwerdeführenden 2 und 3 geltend gemacht werden will, ist Beschwerde in öffentlichrechtlichen Angelegenheiten nach Art. 82 ff. des Bundesgerichtsgesetzes vom 17. Juni 2005 (BGG, SR 173.110) zu erheben (vgl. Art. 83 lit. c Ziff. 2 BGG e contrario; BGE 139 I 330 E. 1.1; Daniela Thurnherr in: Martina Caroni/Thomas Gächter/Daniela Thurnherr [Hrsg.], Bundesgesetz über die Ausländerinnen und Ausländer [AuG], Bern 2010, Art. 112 N. 39 ff.; Thomas Häberli, Basler Kommentar, 2011, Art. 83 BGG N. 64 ff.; Hansjörg Seiler in: derselbe et al., Bundesgerichtsgesetz [BGG], 2. A., Bern 2015, Art. 83 N. 25 ff.). Andernfalls steht lediglich die subsidiäre Verfassungsbeschwerde gemäss Art. 113 ff. BGG zu Gebot (Art. 83 lit. c Ziff. 2 BGG; siehe zu ihrer hier besonders beschränkten Reichweite Peter Nideröst, Sans-Papiers in der Schweiz, in: Peter Uebersax et al. [Hrsg.], Ausländerrecht, 2. A., Basel 2009, S. 373 ff., Rz. 9.33; Thurnherr, Art. 112 N. 72–75; Häberli, Art. 83 N. 61; Seiler, Art. 83 N. 24, Art. 115 N. 27). Das Ergreifen beider Rechtsmittel hätte laut Art. 119 Abs. 1 BGG in der gleichen Rechtsschrift zu geschehen.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