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VB.2016.00258 vom 2. Oktober 2013</w:t>
      </w:r>
    </w:p>
    <w:p>
      <w:r>
        <w:t>ZH Verwaltungsgericht, 2013-10-02, DE</w:t>
      </w:r>
    </w:p>
    <w:p>
      <w:r>
        <w:rPr>
          <w:b/>
        </w:rPr>
        <w:t xml:space="preserve">Quelle: </w:t>
      </w:r>
      <w:r>
        <w:t>https://mcp.opencaselaw.ch/entscheid/zh_verwaltungsgericht__VB.2016.00258</w:t>
      </w:r>
    </w:p>
    <w:p>
      <w:r>
        <w:t>FR: ZH_VERWALTUNGSGERICHT VB.2016.00258 du 2 octobre 2013</w:t>
      </w:r>
    </w:p>
    <w:p>
      <w:r>
        <w:t>IT: ZH_VERWALTUNGSGERICHT VB.2016.00258 del 2 ottobre 2013</w:t>
      </w:r>
    </w:p>
    <w:p>
      <w:pPr>
        <w:pStyle w:val="Heading2"/>
      </w:pPr>
      <w:r>
        <w:t>Regeste</w:t>
      </w:r>
    </w:p>
    <w:p>
      <w:r>
        <w:t>Nichtbestehen der Probezeit | Nichteintreten infolge fehlender Legitimation des Beschwerdeführers, da vor der Vorinstanz lediglich dessen sorgeberechtigte Eltern als Rekurrierende aufgetreten waren. Abweisung UP/URB.</w:t>
      </w:r>
    </w:p>
    <w:p>
      <w:pPr>
        <w:pStyle w:val="Heading2"/>
      </w:pPr>
      <w:r>
        <w:t>Erwägungen</w:t>
      </w:r>
    </w:p>
    <w:p>
      <w:r>
        <w:rPr>
          <w:b/>
        </w:rPr>
        <w:t>E. 4</w:t>
      </w:r>
    </w:p>
    <w:p>
      <w:r>
        <w:t>Ausgangsgemäss laut § 65a Abs. 2 in Verbindung mit § 13 Abs. 2 Satz 1 sowie § 17 Abs. 2 VRG gilt es die Gerichtskosten dem Beschwerdeführer aufzuerlegen und diesem keine Parteientschädigung zuzusprechen (siehe Plüss, § 65a N. 20 in Verbindung mit § 13 N. 65, § 17 N. 29; VGr, 30. März 2016, VB.2016.00104, E. 3).</w:t>
      </w:r>
    </w:p>
    <w:p>
      <w:r>
        <w:rPr>
          <w:b/>
        </w:rPr>
        <w:t>E. 5</w:t>
      </w:r>
    </w:p>
    <w:p>
      <w:r>
        <w:t>Zur Rechtsmittelbelehrung in Ziff. 6 des nachstehenden Verfügungsdispositivs ist Folgendes zu erläutern: Gemäss Art. 83 lit. t des Bundesgerichtsgesetzes vom 17. Juni 2005 (BGG, SR 173.110) ist die Beschwerde in öffentlichrechtlichen Angelegenheiten gegen Entscheide über das Ergebnis von Prüfungen und anderen Fähigkeitsbewertungen namentlich auf dem Gebiet der Schule ausgeschlossen. Darum und möglicherweise nur darum scheint es hier im Hintergrund zu gehen, weil es nicht auf die erhobenen Rügen ankommt. Insofern steht bloss die subsidiäre Verfassungsbeschwerde nach Art. 113 ff. BGG zu Gebot. Demgegenüber greift Art. 83 lit. t BGG nicht, wenn es sich um keine Beurteilung der persönlichen Fähigkeiten handelt (zum Ganzen Patricia Egli, Gerichtlicher Rechtsschutz bei Prüfungsfällen: Aktuelle Entwicklung, ZBl 112/2011, S. 538 ff., 542 ff.; Thomas Häberli, Basler Kommentar, 2011, Art. 83 BGG N. 296 ff.; Florence Aubry Girardin in: Bernard Corboz et al., Commentaire de la LTF [Loi sur le Tribunal fédéral], 2. A., Bern  2014, Art. 83 N. 156 ff.; Hansjörg Seiler in: derselbe et al., Bundesgerichtsgesetz [BGG], 2. A., Bern 2015, Art. 83 N. 139 ff.; VGr, 2. Oktober 2013, VB.2013.00472, E. 7 ). Das Ergreifen beider Rechtsmittel muss in der gleichen Rechtsschrift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