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VB.2016.00241 vom 9. Februar 2012</w:t>
      </w:r>
    </w:p>
    <w:p>
      <w:r>
        <w:t>ZH Verwaltungsgericht, 2012-02-09, DE</w:t>
      </w:r>
    </w:p>
    <w:p>
      <w:r>
        <w:rPr>
          <w:b/>
        </w:rPr>
        <w:t xml:space="preserve">Quelle: </w:t>
      </w:r>
      <w:r>
        <w:t>https://mcp.opencaselaw.ch/entscheid/zh_verwaltungsgericht__VB.2016.00241</w:t>
      </w:r>
    </w:p>
    <w:p>
      <w:r>
        <w:t>FR: ZH_VERWALTUNGSGERICHT VB.2016.00241 du 9 février 2012</w:t>
      </w:r>
    </w:p>
    <w:p>
      <w:r>
        <w:t>IT: ZH_VERWALTUNGSGERICHT VB.2016.00241 del 9 febbraio 2012</w:t>
      </w:r>
    </w:p>
    <w:p>
      <w:pPr>
        <w:pStyle w:val="Heading2"/>
      </w:pPr>
      <w:r>
        <w:t>Regeste</w:t>
      </w:r>
    </w:p>
    <w:p>
      <w:r>
        <w:t>polizeiliche Meldepflicht/Wohnsitz | Polizeiliche Meldepflicht/Wohnsitz. Die Beschwerdeführerin macht keine konkreten schutzwürdigen Interessen bzw. keinen substanziierten wesentlichen Eingriff in ihr Verwaltungs- oder Finanzvermögen im Sinn von § 21 Abs. 2 lit. c VRG geltend, und ein solcher ist vorliegend auch nicht offensichtlich erkennbar (E. 1.2.3). Die Beschwerdeführerin ist jedoch durch den angefochtenen Entscheid in ihrer Eigenschaft als Trägerin hoheitlicher Gewalt berührt, weshalb sie zur Beschwerdeerhebung gestützt auf § 49 in Verbindung mit § 21 Abs. 2 lit. b VRG legitimiert ist (E. 1.2.4). Bundesrecht und Kantonsrecht kennen eine übereinstimmende Begrifflichkeit hinsichtlich Niederlassung und Aufenthalt. Belässt schon das Bundesrecht dem kantonalen Gesetzgeber keinen definitorischen Spielraum, so fehlt es hieran umso mehr im Verhältnis zwischen Kanton und Gemeinde. Zumal sich zum Bereich des Register- oder Schriftenpolizeirechts der Kantonsverfassung keine ausdrückliche Bestimmung entnehmen lässt und der Kanton die Registerfragen in einem kantonalen Gesetz abschliessend geregelt hat. Es ist zwar denkbar, dass das Ziel der Registerharmonisierung im Alltag auf technisch-administrativ verschiedene Weise erreicht werden kann. Dieser kommunale Spielraum im Bereich der Umsetzung der Registerpflicht begründet aber nur in einem sehr geringen Ausmass einen Autonomiebereich, welcher gerade keinen Wirkungskreis in Fragen rein rechtlicher Natur belässt. Die Voraussetzungen für die Anerkennung eines geschützten kommunalen Autonomiebereichs, soweit es um die Frage geht, ob der Beschwerdegegner auf dem Gebiet der Beschwerdeführerin registerrechtlich Niederlassung begründet hat, sind offenkundig nicht gegeben. Es wäre nicht im Sinn des Bundesgesetzgebers, wenn die Beschwerdeführerin in Bezug auf Eintragungen und Löschungen im Einwohnerregister über ein Selbstbestimmungsrecht verfügte, würde auf diese Weise doch das Ziel einer schweizweit harmonisierten Registerpraxis vereitelt. Demzufolge kommt derBeschwerdeführerin kein geschützter Autonomiebereich zu und sind damit die geltend gemachten Rechtsverletzungen nicht zu prüfen (E. 2.4). Abweisung.</w:t>
      </w:r>
    </w:p>
    <w:p>
      <w:pPr>
        <w:pStyle w:val="Heading2"/>
      </w:pPr>
      <w:r>
        <w:t>Erwägungen</w:t>
      </w:r>
    </w:p>
    <w:p>
      <w:r>
        <w:rPr>
          <w:b/>
        </w:rPr>
        <w:t>E. 3</w:t>
      </w:r>
    </w:p>
    <w:p>
      <w:r>
        <w:t>Ausgangsgemäss sind die Gerichtskosten der Beschwerdeführerin aufzuerlegen (§ 65a Abs. 2 in Verbindung mit § 13 Abs. 2 Satz 1 VRG). Diese ist sodann zu verpflichten, dem Beschwerdegegner eine Parteientschädigung von Fr. 1'000.- (zuzüglich 8 % Mehrwertsteuer)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