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VB.2016.00132 vom 4. Juli 2016</w:t>
      </w:r>
    </w:p>
    <w:p>
      <w:r>
        <w:t>ZH Verwaltungsgericht, 2016-07-04, DE</w:t>
      </w:r>
    </w:p>
    <w:p>
      <w:r>
        <w:rPr>
          <w:b/>
        </w:rPr>
        <w:t xml:space="preserve">Quelle: </w:t>
      </w:r>
      <w:r>
        <w:t>https://mcp.opencaselaw.ch/entscheid/zh_verwaltungsgericht__VB.2016.00132</w:t>
      </w:r>
    </w:p>
    <w:p>
      <w:r>
        <w:t>FR: ZH_VERWALTUNGSGERICHT VB.2016.00132 du 4 juillet 2016</w:t>
      </w:r>
    </w:p>
    <w:p>
      <w:r>
        <w:t>IT: ZH_VERWALTUNGSGERICHT VB.2016.00132 del 4 luglio 2016</w:t>
      </w:r>
    </w:p>
    <w:p>
      <w:pPr>
        <w:pStyle w:val="Heading2"/>
      </w:pPr>
      <w:r>
        <w:t>Regeste</w:t>
      </w:r>
    </w:p>
    <w:p>
      <w:r>
        <w:t>Sozialhilfe | Sozialhilfe: Übernahme der Wohnkosten unter Berücksichtigung der Verhältnisse des Sohnes (Durchdiener im Militär). Der Beschwerdeführer wehrt sich gegen die von der Sozialbehörde in seinem Unterstützungsbudget aufgrund eines Zwei-Personen-Haushalts erfolgte Anrechnung des hälftigen Mietzinses und macht geltend, da sein Sohn Durchdiener im Militär gewesen sei, habe dieser keinen Nutzen an der Wohnung gehabt, weshalb sich ein Abzug bei den Wohnkosten nicht rechtfertige. Es ist zu differenzieren, ob in der Zeitspanne, in welcher der Sohn Wohnsitz beim Beschwerdeführer hatte, eine familienähnliche Wohn- und Lebensgemeinschaft oder eine Zweck-Wohngemeinschaft vorlag. Aus der getrennten Erledigung der Haushaltsfunktionen schloss die Vorinstanz zu Recht auf eine Zweck-Wohngemeinschaft. Da jedoch nur von durchschnittlich zwei Wochenenden pro Monat, welche der Sohn in der Wohnung verbrachte, auszugehen ist, entsprechen die Verhältnisse nicht einem gewöhnlichen Zwei-Personen-Haushalt. Es ist deshalb von den tatsächlich gelebten Verhältnissen auszugehen. Die von der Vorinstanz vorgenommene Kürzung der Wohnkosten auf einen Fünftel ist als angemessen zu bezeichnen (E. 7). Fristwiederherstellungsgesuch (E. 2). Keine Zuständigkeit des Verwaltungsgerichts in aufsichtsrechtlichen Belangen (E. 5). Abweisung, soweit Eintreten. Gewährung UP, Abweisung URB.</w:t>
      </w:r>
    </w:p>
    <w:p>
      <w:pPr>
        <w:pStyle w:val="Heading2"/>
      </w:pPr>
      <w:r>
        <w:t>Erwägungen</w:t>
      </w:r>
    </w:p>
    <w:p>
      <w:r>
        <w:rPr>
          <w:b/>
        </w:rPr>
        <w:t>E. 3</w:t>
      </w:r>
    </w:p>
    <w:p>
      <w:r>
        <w:t>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Nach den SKOS-Richtlinien gehören die Wohnkosten zur materiellen Grundsicherung und sie sind im sozialhilferechtlichen Unterstützungsbudget entsprechend zu berücksichtigen, soweit sie im ortsüblichen Rahmen liegen. Angesichts des regional unterschiedlichen Mietzinsniveaus empfiehlt die SKOS, regional oder kommunal ausgerichtete Obergrenzen für die Wohnkosten verschieden grosser Haushalte festzulegen (SKOS-Richtlinien Kap. B.3).</w:t>
      </w:r>
    </w:p>
    <w:p>
      <w:r>
        <w:rPr>
          <w:b/>
        </w:rPr>
        <w:t>E. 4.1</w:t>
      </w:r>
    </w:p>
    <w:p>
      <w:r>
        <w:t>Die Vorinstanz erwog, den Anträgen des Beschwerdeführers betreffend den Grundbedarf sowie die Nachleistung der Mietzinse fehle es an einem Anfechtungsobjekt, weshalb auf diese Punkte nicht eingetreten werde. Zwischen dem Beschwerdeführer und dem Sohn bestehe eine Wohngemeinschaft, da der Sohn am Wohnort seines Vaters seinen zivilrechtlichen Wohnsitz und dort auch seine persönlichen Sachen deponiert habe. Da der Beschwerdeführer und sein Sohn die Haushaltsfunktionen jedoch getrennt wahrnähmen, sei vorliegend nicht von einer familienähnlichen Wohn- und Lebensgemeinschaft, sondern von einer Zweck-Wohngemeinschaft auszugehen. Da aus den Akten nicht hervorgehe, dass der Beschwerdeführer und sein Sohn einen Untermietvertrag abgeschlossen hätten, seien die Wohnkosten der tatsächlich gelebten Regelung in das Unterstützungsbudget aufzunehmen. Der Sohn weile faktisch an etwa zwei Wochenenden pro Monat in der Wohnung und lagere dort seine Gegenstände, welche er nicht ins Militär mitnehmen könne. Es erweise sich folglich als angemessen, ihm einen Fünftel (Fr. 300.-) der Wohnkosten anzurechnen. In ihrer Stellungnahme im vorliegenden Verfahren hielt die Vorinstanz zudem fest, den vorgebrachten Berechnungen des Beschwerdeführers könne nicht gefolgt werden, da der Entscheid betreffend angemessene Beitragshöhe des Sohnes nicht nur von einer rechnerischen Komponente abhängig gemacht werden könne, sondern die Gesamtumstände zu berücksichtigen seien. Zudem hätten die Aufenthalte und Übernachtungen des Sohnes in der Wohnung mangels einheitlicher Darlegung nicht genau beziffert werden können. Da unklar bleibe, was genau der Sohn in der Garage lagere, seien die Vorbringen betreffend die Garage unbeachtlich. Soweit dies Gegenstände seien, welche naturgemäss in der Garage gelagert würden, sei dies für die Berücksichtigung des Anteils am Mietzins wenig relevant.</w:t>
      </w:r>
    </w:p>
    <w:p>
      <w:r>
        <w:rPr>
          <w:b/>
        </w:rPr>
        <w:t>E. 4.2</w:t>
      </w:r>
    </w:p>
    <w:p>
      <w:r>
        <w:t>Der Beschwerdeführer macht geltend, die Vorinstanz hätte berücksichtigen müssen, dass sein Sohn zwar seine Sachen an seiner Adresse lagere, hierzu jedoch die volle Miete der Einzelgarage, in welcher die Sachen untergebracht seien, selbst bezahle. Es sei nicht so, dass sein Sohn permanent ein Zimmer in der Wohnung mit seinen Gegenständen belege. Es sei weiter nicht so, dass sein Sohn jeden Monat zwei Wochenenden in der Wohnung sei. Vielmehr sei die Rede von ein bis zwei Wochenenden gewesen. Sein Nutzen an der Wohnung betrage höchstens 2/30 pro Monat und nicht einen Fünftel. Die Beschwerdegegnerin habe den Mietvertrag für die Garage aus den Unterlagen ausgeschieden, obwohl er geltend gemacht habe, dass sein Sohn die Garage nutze und die Miete dafür bezahle. Da seinem Sohn weder ein eigenes Zimmer noch ein Bad zur Verfügung stünden, sei ein Mietzins- und Nebenkostenabzug nicht vertretbar. Bestenfalls könne ihm Fr. 10.- für die monatliche Postzustellung als Nutzwert berechnet werden. Anderen Sozialhilfeempfängern würde die Miete auch nicht aufgrund von Besuchen gekürzt.</w:t>
      </w:r>
    </w:p>
    <w:p>
      <w:r>
        <w:rPr>
          <w:b/>
        </w:rPr>
        <w:t>E. 4.3</w:t>
      </w:r>
    </w:p>
    <w:p>
      <w:r>
        <w:t>Die Beschwerdegegnerin macht geltend, es handle sich bei den Aufenthalten des Sohnes des Beschwerdeführers eben nicht um ein Besuchsverhältnis, sondern dieser habe seinen zivilrechtlichen Wohnsitz an dessen Adresse. Seit dem Wegzug des Sohnes werde zudem bis zum Mietende am 30. Juni 2016 der volle Mietzins von Fr. 1'500.- ausbezahlt.</w:t>
      </w:r>
    </w:p>
    <w:p>
      <w:r>
        <w:rPr>
          <w:b/>
        </w:rPr>
        <w:t>E. 5</w:t>
      </w:r>
    </w:p>
    <w:p>
      <w:r>
        <w:t>Bezüglich des Antrags des Beschwerdeführers, dass die Beschwerdegegnerin alle fehlenden Anordnungen formgerecht erlassen solle, damit er Rechtsmittel ergreifen könne, ist darauf hinzuweisen, dass die Vorinstanz die Beschwerdegegnerin im Rahmen der Behandlung der aufsichtsrechtlichen Rügen anwies, das Budget von Unterstützungsbeginn am 30. September 2014 an bis zum 30. Juni 2015 neu zu berechnen und die Budgetberechnungen in der Folge dem Beschwerdeführer zuzustellen. Die Beschwerdegegnerin hat erklärt, dies mit dem Beschwerdeführer bei einem persönlichen Termin zu klären und ihm die neuen Berechnungen zu übergeben. Das Verwaltungsgericht ist überdies nicht zuständig für aufsichtsrechtliche Belange, da es nicht Aufsichtsbehörde über die Sozialämter im Kanton Zürich ist (Martin Bertschi, Kommentar VRG, Vorbemerkungen zu §§ 19–28a, N. 73 f.). Der Beschwerdeführer wurde zudem im vorinstanzlichen Entscheid darauf hingewiesen, dass er gegen Dispositiv-Ziffer II Rekurs beim Regierungsrat einlegen könne. Demzufolge ist auf diesen Antrag nicht einzutreten.</w:t>
      </w:r>
    </w:p>
    <w:p>
      <w:r>
        <w:rPr>
          <w:b/>
        </w:rPr>
        <w:t>E. 6</w:t>
      </w:r>
    </w:p>
    <w:p>
      <w:r>
        <w:t>Die Vorinstanz trat auf die Anträge des Beschwerdeführers bezüglich Grundbedarf sowie Nachleistung der Mietzinse nicht ein, da dies nicht Gegenstand der erstinstanzlichen Verfügung gewesen sei. Da diese Punkte tatsächlich nicht Streitgegenstand der Verfügung vom 19. August 2015 bildeten, kann diesbezüglich auf die Ausführungen der Vorinstanz verwiesen werden. Der Beschwerdeführer bringt diesbezüglich nichts vor, was dem widerspräche. Dass die Vorinstanz auf diese Punkte des Rekurses nicht eintrat, ist nicht zu beanstanden.</w:t>
      </w:r>
    </w:p>
    <w:p>
      <w:r>
        <w:rPr>
          <w:b/>
        </w:rPr>
        <w:t>E. 7.1</w:t>
      </w:r>
    </w:p>
    <w:p>
      <w:r>
        <w:t>Im Gegensatz zur derjenigen der Rekursbehörden (§ 20 Abs. 1 VRG) ist die Überprüfungsbefugnis des Verwaltungsgerichts eingeschränkt. Nach § 50 in Verbindung mit § 20 Abs. 1 VRG können mit der Beschwerde neben der unrichtigen oder ungenügenden Feststellung des Sachverhalts nur Rechtsverletzungen einschliesslich Ermessensmissbrauch, Ermessensüberschreitung oder Ermessensunterschreitung, nicht aber die Unangemessenheit der angefochtenen Verfügung gerügt werden. Diese Kognitionsbeschränkung gilt gegenüber dem Rekursentscheid. Sollte sich dieser daher als rechtmässig erweisen, so ist er unabhängig davon zu schützen, ob auch der Entscheid der Sozialbehörde als rechtmässig gelten könnte (vgl. VGr, 29. Januar 2013, VB.2012.00695, E. 4.1; VGr, 8. November 2012, VB.2012.00478, E. 4).</w:t>
      </w:r>
    </w:p>
    <w:p>
      <w:r>
        <w:rPr>
          <w:b/>
        </w:rPr>
        <w:t>E. 7.2</w:t>
      </w:r>
    </w:p>
    <w:p>
      <w:r>
        <w:t>Wie es die Vorinstanz tat, ist vorliegend zu differenzieren, ob in der Zeitspanne, in welcher der Sohn des Beschwerdeführers bei diesem Wohnsitz hatte, eine familienähnliche Wohn- und Lebensgemeinschaft oder eine Zweck-Wohngemeinschaft vorlag. Für die Annahme eines gemeinsamen Haushalts ist eine gesamthafte Betrachtung vorzunehmen. Grundsätzlich wird eine gemeinsame Ausübung und Finanzierung der Haushaltsfunktionen, wie Wohnen, Essen, Waschen, Reinigen, Telefonieren usw. vorausgesetzt (Claudia Hänzi, Leistungen der Sozialhilfe in den Kantonen, in: Christoph Häfeli etc. [Hrsg.], Das Schweizerische Sozialhilferecht, Luzern 2008, S. 87 ff., insbesondere S. 143 f.). Dennoch zeichnen sich diese Gemeinschaften durch eine gewisse emotionale Verbundenheit ihrer Mitglieder aus, die über die blosse Untermiete hinausgeht und zur Annahme einer familienähnlichen Wohn- und Lebensgemeinschaft führt. Bei einer Zweck-Wohngemeinschaft hingegen verfolgt das Zusammenwohnen einzig den Zweck, die Wohnkosten tief zu halten. Der Sohn des Beschwerdeführers war als Durchdiener unstreitig unter der Woche jeweils im Militärdienst. Die Vorinstanz berücksichtigte die Vorbringen des Beschwerdeführers, dass sein Sohn deshalb nur gelegentlich vereinzelte Tage im Monat in der Wohnung verbringe und ansonsten keinen Nutzen an der Wohnung habe, da er im Militär schlafe, esse und dort auch seine Wäsche gewaschen werde. Aus der getrennten Erledigung der Haushaltsfunktionen folgerte die Vorinstanz zu Recht, dass eine Zweck-Wohngemein­schaft vorliege. Die Schlussfolgerung der Vorinstanz, dass von zwei Wochenenden pro Monat auszugehen ist, welche sich der Sohn beim Beschwerdeführer aufhielt, ist nicht zu beanstanden, zumal dies tatsächlich nicht einheitlich dargelegt wurde. Der Beschwerdeführer bezifferte die Wochenenden, welche sein Sohn zuhause gewesen sei, auf ein bis zwei pro Monat. Der Sohn selbst hielt in einem Schreiben vom 23. November 2014 zuhanden der Beschwerdegegnerin fest, er besuche seinen Vater zwei bis vier Mal pro Monat. Es ist glaubhaft, dass der Sohn die Garagenmiete bezahlt, selbst wenn der Mietvertrag dafür auf den Beschwerdeführer lautet. Dass die diversen Fahrzeuge des Sohnes in der Garage gelagert werden, war auch bisher für den Entscheid irrelevant. Dass die Wohnung jedoch nicht als Lagerort für die persönlichen Gegenstände des Sohnes diene, wie dies die Vorinstanz annahm, ohne dass der Beschwerdeführer dies geltend gemacht hätte, lässt sich nicht abschliessend verifizieren. Immerhin darf davon ausgegangen werden, dass der Sohn seine ausserhalb des Militärdienstes benötigten Kleider und Wäsche sowie weitere Artikel zu persönlichen täglichen Gebrauch schon aus praktischen und hygienischen Gründen nicht in der Garage lagert. Aufgrund der Nutzung als regelmässige Wochenendunterkunft, postalische Zustelladresse und zivilrechtlicher Wohnsitz und selbst wenn die Übernachtungen in einem Gästebett erfolgten, ist die vorliegende Zweck-Wohngemeinschaft somit von der Situation eines gewöhnlichen Besuchs zu unterscheiden. Es konnte folglich – wie die Vorinstanz zu Recht festhielt – auch nicht von einem reinen Ein-Personen-Haushalt des Beschwerdeführers ausgegangen werden. Angesichts der Umstände gestaltete sich die Situation jedoch auch nicht wie ein gewöhnlicher Zwei-Personen-Haushalt, weshalb von den tatsächlich gelebten Verhältnissen auszugehen war. Die Kürzung um einen Fünftel der Wohnkosten ist deshalb als angemessen zu bezeichnen. Die Schlussfolgerungen der Vorinstanz liegen in deren Ermessen. Ein Missbrauch oder eine Über- oder Unterschreitung desselben bzw. eine Rechtsverletzung lässt sich diesbezüglich nicht ausmachen. Demzufolge ist die Beschwerde abzuweisen.</w:t>
      </w:r>
    </w:p>
    <w:p>
      <w:r>
        <w:rPr>
          <w:b/>
        </w:rPr>
        <w:t>E. 8.1</w:t>
      </w:r>
    </w:p>
    <w:p>
      <w:r>
        <w:t>Die Gerichtskosten sind ausgangsgemäss dem Beschwerdeführer aufzuerlegen (§ 65a Abs. 2 in Verbindung mit § 13 Abs. 2 VRG). Angesichts seines Unterliegens ist ihm keine Parteientschädigung zuzusprechen (§ 17 Abs. 2 VRG). Die Beschwerdegegnerin hat eine solche nicht beantragt.</w:t>
      </w:r>
    </w:p>
    <w:p>
      <w:r>
        <w:rPr>
          <w:b/>
        </w:rPr>
        <w:t>E. 8.2</w:t>
      </w:r>
    </w:p>
    <w:p>
      <w:r>
        <w:t>Der Beschwerdeführer stellt ein Gesuch um Gewährung der unentgeltlichen Prozessführung und der unentgeltlichen Rechtsvertretung. 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 Der Beschwerdeführer begründet seine Mittellosigkeit mit seinen persönlichen Umständen, welche aufgrund einer Scheidung und da er alleinerziehender Vater gewesen sei, zu einer Verarmung geführt hätten. Aufgrund der Tatsache, dass er mit wirtschaftlicher Hilfe unterstützt wird, ist von seiner Mittellosigkeit auszugehen. Die Beschwerde war zudem angesichts des Ermessensentscheids der Vorinstanz nicht offensichtlich aussichtslos.</w:t>
      </w:r>
    </w:p>
    <w:p>
      <w:r>
        <w:rPr>
          <w:b/>
        </w:rPr>
        <w:t>E. 8.3</w:t>
      </w:r>
    </w:p>
    <w:p>
      <w:r>
        <w:t>Die sachliche Notwendigkeit der unentgeltlichen Rechtsverbeiständung setzt voraus, dass das Verfahren in tatsächlicher und rechtlicher Hinsicht Schwierigkeiten bietet, die den Beizug einer Rechtsvertretung erforderlich machen (BGE 130 I 180 E. 2.2; RB 2001 Nr. 6 E. 2c; Plüss, § 16 N. 81). Im Bereich des Sozialhilferechts ging die Rechtsprechung bislang nur mit Zurückhaltung von der sachlichen Notwendigkeit einer anwaltlichen Vertretung aus, da es in solchen Verfahren regelmässig vorab um die Darlegung der persönlichen Umstände geht, die keine tatsächlichen oder rechtlichen Schwierigkeiten bereiten, denen die gesuchstellende Person nicht gewachsen wäre (BGr, 16. April 2013, 8C_140/2013, E. 3.2.2; 19. Juli 2012, 8C_292/2012, E. 8.2; 11. April 2011, 8C_224/2011, E. 4.5; 14. Dezember 2006, 2P.234/2006, E. 5.1; VGr, 15. November 2007, VB.2007.00423, E. 5.4; Plüss, § 16 N. 83). Es war dem Beschwerdeführer vorliegend durchaus möglich, seinen Standpunkt und seine persönlichen Umstände in Bezug auf seinen Sohn klar und verständlich darzulegen. Er konnte all seine Argumente begründen und auf entsprechende Gesetzesbestimmungen verweisen, womit er keinesfalls als völlig unbeholfener Laie gelten kann. Der Beschwerdeführer war den Anforderungen, das Beschwerdeverfahren zu führen, somit durchaus gewachsen. Der Entscheid ist überdies nicht von einer derart existenziellen Tragweite, wie beispielsweise die vollständige Einstellung der Sozialhilfe. Demzufolge ist das Gesuch um unentgeltliche Rechtsvertretung mangels Notwendigkeit abzuweisen. Angesichts der Aktenlage erübrigte sich ein vorgängiger Entscheid hierüber.</w:t>
      </w:r>
    </w:p>
    <w:p>
      <w:r>
        <w:rPr>
          <w:b/>
        </w:rPr>
        <w:t>E. 8.4</w:t>
      </w:r>
    </w:p>
    <w:p>
      <w:r>
        <w:t>Der Beschwerdeführer ist darauf hinzuweisen, dass gemäss § 16 Abs. 4 VRG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