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VB.2015.00799 vom 24. Februar 2016</w:t>
      </w:r>
    </w:p>
    <w:p>
      <w:r>
        <w:t>ZH Verwaltungsgericht, 2016-02-24, DE</w:t>
      </w:r>
    </w:p>
    <w:p>
      <w:r>
        <w:rPr>
          <w:b/>
        </w:rPr>
        <w:t xml:space="preserve">Quelle: </w:t>
      </w:r>
      <w:r>
        <w:t>https://mcp.opencaselaw.ch/entscheid/zh_verwaltungsgericht__VB.2015.00799</w:t>
      </w:r>
    </w:p>
    <w:p>
      <w:r>
        <w:t>FR: ZH_VERWALTUNGSGERICHT VB.2015.00799 du 24 février 2016</w:t>
      </w:r>
    </w:p>
    <w:p>
      <w:r>
        <w:t>IT: ZH_VERWALTUNGSGERICHT VB.2015.00799 del 24 febbraio 2016</w:t>
      </w:r>
    </w:p>
    <w:p>
      <w:pPr>
        <w:pStyle w:val="Heading2"/>
      </w:pPr>
      <w:r>
        <w:t>Regeste</w:t>
      </w:r>
    </w:p>
    <w:p>
      <w:r>
        <w:t>Stimmrechtsbeschwerde/Beschwerde gegen Kostenauflage | Handlungen staatlicher Organe, welche die politische Stimmberechtigung oder Volkswahlen und -abstimmungen betreffen, können mit Rekurs angefochten werden (Stimmrechtssachen). Nicht in den Anwendungsbereich des Rekurses in Stimmrechtssachen fällt indes die Anfechtung einer durch die Behörde selber vorgenommenen Wahl, es sei denn, es werde geltend gemacht, die (behördeninterne) Wahl hätte durch die Stimmberechtigten erfolgen sollen. Insoweit der Beschwerdeführer vor Vorinstanz eine Verletzung der politischen Rechte durch den Beschluss der Beschwerdegegnerin über die Wahl ihres Vizepräsidenten geltend zu machen suchte, ist diese daher im Ergebnis darauf zu Recht nicht eingetreten (E. 2.2). Beschlüsse von Zweckverbandsorganen sind als Anordnungen weiterer Träger öffentlicher Aufgaben nach § 152 GG anfechtbar; eine analoge Anwendung des § 151 GG rechtfertigt sich nicht, weshalb der Beschwerdeführer zur Geltendmachung seiner verfahrensrechtlichen Rügen auf den Rekurs nach § 152 GG zu verweisen ist (E. 2.3.1 f.). Dieser scheitert jedoch bereits an den Legitimationsvoraussetzungen. Das allfällige tatsächliche oder allgemeine öffentliche Interesse an einer ordnungsgemässen Beschlussfassung, das er als Stimmbürger einer Verbandsgemeinde vertritt, kann der Beschwerdeführer nicht mit Rekurs nach § 152 GG wahren (E. 2.3.3). Abweisung.</w:t>
      </w:r>
    </w:p>
    <w:p>
      <w:pPr>
        <w:pStyle w:val="Heading2"/>
      </w:pPr>
      <w:r>
        <w:t>Erwägungen</w:t>
      </w:r>
    </w:p>
    <w:p>
      <w:r>
        <w:rPr>
          <w:b/>
        </w:rPr>
        <w:t>E. 4</w:t>
      </w:r>
    </w:p>
    <w:p>
      <w:r>
        <w:t>Die Beschwerde ist abzuweisen, soweit darauf einzutreten ist.</w:t>
      </w:r>
    </w:p>
    <w:p>
      <w:r>
        <w:rPr>
          <w:b/>
        </w:rPr>
        <w:t>E. 5.1</w:t>
      </w:r>
    </w:p>
    <w:p>
      <w:r>
        <w:t>In der Rechtsmittelbelehrung der Vorinstanz wurde der nicht anwaltlich vertretene Beschwerdeführer bezüglich der Anfechtung der beiden streitgegenständlichen Anträge auf die in Stimmrechtssachen geltende fünftägige Beschwerdefrist nach § 53 Satz 2 in Verbindung mit § 22 Abs. 1 Satz 2 VRG hingewiesen. Vor diesem Hintergrund rechtfertigt es sich, von der Kostenverteilung nach Erfolgs- bzw. Verursacherprinzip (§ 65a Abs. 2 in Verbindung mit § 13 Abs. 2 Satz 1 VRG) abzuweichen und die Gerichtkosten unabhängig davon, dass es sich bei dem Rechtsmittel des Beschwerdeführers nicht um grundsätzlich kostenfreie Stimmrechtsbeschwerde (§ 65a Abs. 2 in Verbindung mit § 13 Abs. 4 VRG) handelt, auf die Gerichtskasse zu nehmen (vgl. Plüss, § 13 N. 64).</w:t>
      </w:r>
    </w:p>
    <w:p>
      <w:r>
        <w:rPr>
          <w:b/>
        </w:rPr>
        <w:t>E. 5.2</w:t>
      </w:r>
    </w:p>
    <w:p>
      <w:r>
        <w:t>Die obsiegende Beschwerdegegnerin verlangt die Zusprechung einer Parteientschädigung, weil sie nicht nur zum wiederholten Mal in ein Rechtsmittelverfahren involviert worden sei, welches von vornherein aussichtslos, aber für sie dennoch mit erheblichem Aufwand verbunden gewesen sei, sondern der Beschwerdeführer darüber hinaus bereits einen weiteren Stimmrechtsrekurs gegen einen ihrer Beschlüsse anhängig gemacht habe. Gestützt auf § 17 Abs. 2 lit. a VRG hat das obsiegende Gemeinwesen in der Regel keinen Anspruch auf Parteientschädigung (Plüss, § 17 N. 51). Vorliegend besteht kein Anlass, von diesem Grundsatz abzuweichen. Der seitens der Beschwerdegegnerin vor Verwaltungsgericht zu leistende Aufwand erscheint nicht als aussergewöhnlich. Im Übrigen hätte sie sich auf Darlegungen im Zusammenhang mit der Frage der Erfüllung der Prozessvoraussetzungen beschränken können. Dementsprechend ist ihr keine Parteientschädigung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