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VB.2015.00644 vom 16. Dezember 2015</w:t>
      </w:r>
    </w:p>
    <w:p>
      <w:r>
        <w:t>ZH Verwaltungsgericht, 2015-12-16, DE</w:t>
      </w:r>
    </w:p>
    <w:p>
      <w:r>
        <w:rPr>
          <w:b/>
        </w:rPr>
        <w:t xml:space="preserve">Quelle: </w:t>
      </w:r>
      <w:r>
        <w:t>https://mcp.opencaselaw.ch/entscheid/zh_verwaltungsgericht__VB.2015.00644</w:t>
      </w:r>
    </w:p>
    <w:p>
      <w:r>
        <w:t>FR: ZH_VERWALTUNGSGERICHT VB.2015.00644 du 16 décembre 2015</w:t>
      </w:r>
    </w:p>
    <w:p>
      <w:r>
        <w:t>IT: ZH_VERWALTUNGSGERICHT VB.2015.00644 del 16 dicembre 2015</w:t>
      </w:r>
    </w:p>
    <w:p>
      <w:pPr>
        <w:pStyle w:val="Heading2"/>
      </w:pPr>
      <w:r>
        <w:t>Regeste</w:t>
      </w:r>
    </w:p>
    <w:p>
      <w:r>
        <w:t>Anerkennung einer im Ausland erfolgten Kindesanerkennung | [Anerkennung einer im Ausland erfolgten Anerkennung eines ehelichen Kindes] Eine im Ausland erfolgte Kindesanerkennung wird nach Art. 73 Abs. 1 IPRG in der Schweiz anerkannt, wenn sie nach dem Recht am gewöhnlichen Aufenthalt des Kindes, nach dessen Heimatrecht, nach dem Recht am Wohnsitz oder nach dem Heimatrecht der Mutter oder des Vaters gültig ist. Daneben sind die allgemeinen Vorschriften zur Anerkennung (Art. 25 ff. IPRG) – ausser derjenigen über die indirekte Zuständigkeit (Art. 25 lit. a und Art. 26 IPRG) – zu beachten (E. 2.1). Die durch den Beschwerdeführer in Italien erklärte vorgeburtliche Kindesanerkennung ist nach italienischem Recht als dem Recht der Staatsangehörigkeit des Kindes sowie seiner Eltern gültig zustande gekommen (E. 2.3). Die Anerkennung einer ausländischen Kindesanerkennung, welche nach schweizerischem Recht mit Blick auf Art. 255 ZGB nicht zulässig wäre, erscheint zudem nicht in jedem Fall mit dem schweizerischen Ordre public unvereinbar (E. 3.1-3). Für eine Zurückhaltung in der Annahme eines Verstosses gegen den Ordre public spricht vorliegend insbesondere die Beziehungsnähe zu Italien sowie der Umstand, dass die Beseitigung des in der Schweiz von Gesetzes wegen entstandenen Kindesverhältnisses zum rechtlichen Vater im Sinn von Art. 255 ZGB im Interesse aller Beteiligten liegt, insbesondere aber in jenem des Kindes, weil danach ein Kindesverhältnis zum wirklichen, biologischen Vater hergestellt werden kann, wie es mit der Anerkennungserklärung beabsichtigt war (E. 3.4). Insgesamt ist nicht davon auszugehen, dass mit der Anerkennung der vom Beschwerdeführer in Italien erklärten Kindesanerkennung eine offensichtliche Unvereinbarkeit mit dem schweizerischen Ordre public im Sinn von Art. 27 Abs. 1 IPRG einherginge, welche im konkreten Fall eine Ausnahme von der anerkennungsfreundlichen Regelung in Art. 73 Abs. 1 IPRG rechtfertigte (E. 3.5). Gutheissung UP/URB. Gutheissung. Abweichende Meinung einer Kammerminderheit.</w:t>
      </w:r>
    </w:p>
    <w:p>
      <w:pPr>
        <w:pStyle w:val="Heading2"/>
      </w:pPr>
      <w:r>
        <w:t>Erwägungen</w:t>
      </w:r>
    </w:p>
    <w:p>
      <w:r>
        <w:rPr>
          <w:b/>
        </w:rPr>
        <w:t>E. 4</w:t>
      </w:r>
    </w:p>
    <w:p>
      <w:r>
        <w:t>Nach dem Gesagten ist die Beschwerde gutzuheissen.</w:t>
      </w:r>
    </w:p>
    <w:p>
      <w:r>
        <w:rPr>
          <w:b/>
        </w:rPr>
        <w:t>E. 5.1</w:t>
      </w:r>
    </w:p>
    <w:p>
      <w:r>
        <w:t>Ausgangsgemäss sind die Kosten des Rekurs- sowie des Beschwerdeverfahrens dem Beschwerdegegner aufzuerlegen (§ 65a Abs. 2 in Verbindung mit § 13 Abs. 2 Satz 1 VRG ; Kaspar Plüss in: Alain Griffel [Hrsg.], Kommentar zum Verwaltungsrechtspflegegesetz des Kantons Zürich [VRG], 3. A., Zürich etc. 2014 , § 13 N. 66). Desgleichen hat dieser für beide Rechtsmittel antragsgemäss eine angemessene Parteientschädigung von Fr. 1'000.- (inklusive 8 % Mehrwertsteuer) für das Rekurs- sowie Fr. 1'500.- (inklusive 8 % Mehrwertsteuer) für das Beschwerdeverfahren zu bezahlen, und zwar – aus sich noch herausstellendem Grund – (wenigstens prinzipiell) direkt an den Vertreter des Beschwerde ­ führers (§ 17 Abs. 2 lit. a VRG; Plüss, § 17 N. 45).</w:t>
      </w:r>
    </w:p>
    <w:p>
      <w:r>
        <w:rPr>
          <w:b/>
        </w:rPr>
        <w:t>E. 5.2</w:t>
      </w:r>
    </w:p>
    <w:p>
      <w:r>
        <w:t>Das Gesuch des Beschwerdeführers um unentgeltliche Prozessführung wird bei diesem Ausgang gegenstandslos. Sein Gesuch um unentgeltliche Rechtsvertretung ist angesichts der nachgewiesenen Mittellosigkeit und unter Berücksichtigung des Verfahrensausgangs gutzuheissen (§ 16 Abs. 1 f. VRG). Demnach ist Rechtsanwalt B als unentgeltlicher Rechtsbeistand des Beschwerdeführers zu bestellen. Diesen hat bereits die Vorinstanz zum unentgeltlichen Rechtsbeistand des Beschwerdeführers ernannt und ihn für den Aufwand im Rekursverfahren mit Fr. 4'073.- (inklusive 8 % Mehrwertsteuer) entschädigt. Weil die durch den Beschwerdegegner zu leistende Parteientschädigung auf die Entschädigung für den unentgeltlichen Rechtsbeistand anzurechnen ist, hat der Beschwerdegegner den Betrag der Parteientschädigung für das Rekursverfahren von Fr. 1'000.- nicht an diesen, sondern an die Vorinstanz zu leisten.</w:t>
      </w:r>
    </w:p>
    <w:p>
      <w:r>
        <w:rPr>
          <w:b/>
        </w:rPr>
        <w:t>E. 5.3</w:t>
      </w:r>
    </w:p>
    <w:p>
      <w:r>
        <w:t>Mit Bezug auf die Beschwerde gilt es hinsichtlich der Festlegung der Entschädigung für den als unentgeltlichen Rechtsbeistand zu bestellenden Vertreter des Beschwerdeführers nach § 9 Abs. 1 der Gebührenverordnung des Verwaltungsgerichts vom 23. August 2010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Die dem Rechtsvertreter des Beschwerdeführers gewährte Parteientschädigung wird an dessen Entschädigung als unentgeltliche m Rechtsbeistand angerechnet. Der Rechtsvertreter des Beschwerdeführers macht einen Aufwand von elf Stunden und Barauslagen bzw. Spesen von Fr. 35.- geltend. Dieser Aufwand erscheint angesichts der Bedeutung der Streitsache und der Schwierigkeit des Prozesses als angemessen. Der Rechtsvertreter ist demnach für das verwaltungsgerichtliche Verfahren mit insgesamt Fr. 2'651.40 (inklusive 8 % Mehrwertsteuer) zu entschädigen. Nach Anrechnung der Parteientschädigung verbleibt ein aus der Gerichtskasse auszurichtender Betrag von Fr. 1' 1 51.40.</w:t>
      </w:r>
    </w:p>
    <w:p>
      <w:r>
        <w:rPr>
          <w:b/>
        </w:rPr>
        <w:t>E. 5.4</w:t>
      </w:r>
    </w:p>
    <w:p>
      <w:r>
        <w:t>Es gilt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