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VB.2015.00607 vom 8. Januar 2014</w:t>
      </w:r>
    </w:p>
    <w:p>
      <w:r>
        <w:t>ZH Verwaltungsgericht, 2014-01-08, DE</w:t>
      </w:r>
    </w:p>
    <w:p>
      <w:r>
        <w:rPr>
          <w:b/>
        </w:rPr>
        <w:t xml:space="preserve">Quelle: </w:t>
      </w:r>
      <w:r>
        <w:t>https://mcp.opencaselaw.ch/entscheid/zh_verwaltungsgericht__VB.2015.00607</w:t>
      </w:r>
    </w:p>
    <w:p>
      <w:r>
        <w:t>FR: ZH_VERWALTUNGSGERICHT VB.2015.00607 du 8 janvier 2014</w:t>
      </w:r>
    </w:p>
    <w:p>
      <w:r>
        <w:t>IT: ZH_VERWALTUNGSGERICHT VB.2015.00607 del 8 gennaio 2014</w:t>
      </w:r>
    </w:p>
    <w:p>
      <w:pPr>
        <w:pStyle w:val="Heading2"/>
      </w:pPr>
      <w:r>
        <w:t>Regeste</w:t>
      </w:r>
    </w:p>
    <w:p>
      <w:r>
        <w:t>Forderung aus Versorgertaxe | [Die Beschwerdeführerin (Unterstützungsgemeinde) forderte vom Staat Zürich die Übernahme von Versorgertaxen für die Unterbringung eines Kindes in einem ausserkantonalen Kinderheim.] Nach der Interkantonalen Vereinbarung für soziale Einrichtungen (IVSE) sind die Kosten für die Unterbringung in einem ausserkantonalen Heim - mit Ausnahme des Kostgelds - durch Beiträge aus dem Wohnsitzkanton zu decken; welches Gemeinwesen innerkantonal kostenpflichtig ist, regelt die IVSE nicht (E. 2.2). Gemäss § 9b JugendheimeG sind diese Beiträge vom Staat zu tragen und gelten nicht als öffentliche Unterstützung. Aufgrund dieser innerkantonalen gesetzlichen Regelung muss der Kanton Zürich die gemäss IVSE vom Wohnsitzkanton zu tragenden Beiträge vollständig übernehmen. Die in der Praxis vorgenommene Unterscheidung zwischen einer von den unterstützungspflichtigen Personen bzw. der Gemeinde am Unterstützungswohnsitz zu tragenden Versorgertaxe und dem vom Kanton zu tragenden Restkostendefizit widerspricht der gesetzlichen Bestimmung. Mit Ausnahme des Kostgelds besteht deshalb kein Raum für eine Beteiligung der unterstützungspflichtigen Personen bzw. der Gemeinde am Unterstützungswohnsitz (E. 2.3). Gutheissung.</w:t>
      </w:r>
    </w:p>
    <w:p>
      <w:pPr>
        <w:pStyle w:val="Heading2"/>
      </w:pPr>
      <w:r>
        <w:t>Erwägungen</w:t>
      </w:r>
    </w:p>
    <w:p>
      <w:r>
        <w:rPr>
          <w:b/>
        </w:rPr>
        <w:t>E. 4</w:t>
      </w:r>
    </w:p>
    <w:p>
      <w:r>
        <w:t>Ausgangsgemäss sind die Gerichtskosten dem Beschwerdegegner aufzuerlegen (§ 65a Abs. 2 in Verbindung mit § 13 Abs. 2 Satz 1 VRG). Der Beschwerdegegner ist zu verpflichten, der Beschwerdeführerin für das Rekurs- und das Beschwerdeverfahren eine Parteientschädigung von insgesamt Fr. 4'000.- (zuzüglich 8 % Mehrwertsteuer) zu bezahlten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