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VB.2015.00572 vom 17. Mai 2011</w:t>
      </w:r>
    </w:p>
    <w:p>
      <w:r>
        <w:t>ZH Verwaltungsgericht, 2011-05-17, DE</w:t>
      </w:r>
    </w:p>
    <w:p>
      <w:r>
        <w:rPr>
          <w:b/>
        </w:rPr>
        <w:t xml:space="preserve">Quelle: </w:t>
      </w:r>
      <w:r>
        <w:t>https://mcp.opencaselaw.ch/entscheid/zh_verwaltungsgericht__VB.2015.00572</w:t>
      </w:r>
    </w:p>
    <w:p>
      <w:r>
        <w:t>FR: ZH_VERWALTUNGSGERICHT VB.2015.00572 du 17 mai 2011</w:t>
      </w:r>
    </w:p>
    <w:p>
      <w:r>
        <w:t>IT: ZH_VERWALTUNGSGERICHT VB.2015.00572 del 17 maggio 2011</w:t>
      </w:r>
    </w:p>
    <w:p>
      <w:pPr>
        <w:pStyle w:val="Heading2"/>
      </w:pPr>
      <w:r>
        <w:t>Regeste</w:t>
      </w:r>
    </w:p>
    <w:p>
      <w:r>
        <w:t>fehlendes Rechtsdomizil | [Ordnungsbusse] Die Bussenauflage in Anwendung von Art. 153b Abs. 1 lit. d HRegV in Verbindung mit Art. 943 OR erfolgte grundsätzlich zu Recht (E. 2.1 f.). Das Fehlverhalten des Beschwerdeführers bezieht sich auf Unterlassungen im Zusammenhang mit dem Rechtsdomizil einer GmbH. Solchen Rechtssubjekten kommt in der Regel zumindest eine gewisse wirtschaftliche Bedeutung zu, womit von einem entsprechenden öffentlichen Interesse an einer korrekten Registerführung auszugehen ist und die Verfehlung in objektiver Hinsicht nicht mehr als vernachlässigbar erscheint. Insgesamt erweist sich die Bussenhöhe nicht als rechtsverletzend (E. 2.4 f.). Abweisung.</w:t>
      </w:r>
    </w:p>
    <w:p>
      <w:pPr>
        <w:pStyle w:val="Heading2"/>
      </w:pPr>
      <w:r>
        <w:t>Erwägungen</w:t>
      </w:r>
    </w:p>
    <w:p>
      <w:r>
        <w:rPr>
          <w:b/>
        </w:rPr>
        <w:t>E. 4</w:t>
      </w:r>
    </w:p>
    <w:p>
      <w:r>
        <w:t>Ausgangsgemäss sind die Gerichtskosten dem Beschwerdeführer aufzuerlegen (§ 65a Abs. 2 in Verbindung mit § 13 Abs. 2 Satz 1 VRG). Für die Bemessung der Gerichtsgebühr ist dabei die Gebührenverordnung des Verwaltungsgerichts vom 23. August 2010 (GebV VGr, LS 175.252) und nicht die Verordnung vom 3. Dezember 1954 über die Gebühren für das Handelsregister (SR 221.411.1) massgeblich (vgl. VGr, 17. Mai 2011, VB.2011.00266, E. 5.2). Vorliegend erscheint die Festsetzung der Gerichtsgebühr auf Fr. 500.- gerechtfertigt (vgl. § 3 Abs. 1 GebV VGr).</w:t>
      </w:r>
    </w:p>
    <w:p>
      <w:r>
        <w:rPr>
          <w:b/>
        </w:rPr>
        <w:t>E. 5</w:t>
      </w:r>
    </w:p>
    <w:p>
      <w:r>
        <w:t>Zur Rechtsmittelbelehrung im nachstehenden Urteilsdispositiv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der Streitwert dem Grenzwert von Fr. 30'000.- nicht erreicht, steht die ordentliche Beschwerde in Zivilsachen nur dann zur Verfügung, wenn sich eine Rechtsfrage grundsätzlicher Bedeutung stellt (Art. 74 Abs. 2 lit. a BGG); ansonsten bleibt die subsidiäre Verfassungsbeschwerde gemäss Art. 113 ff. BGG. Werden beide Rechtsmittel ergriffen, so hat dies in derselben Rechtsschrift zu erfolgen (Art. 119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