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VB.2015.00356 vom 21. Oktober 2015</w:t>
      </w:r>
    </w:p>
    <w:p>
      <w:r>
        <w:t>ZH Verwaltungsgericht, 2015-10-21, DE</w:t>
      </w:r>
    </w:p>
    <w:p>
      <w:r>
        <w:rPr>
          <w:b/>
        </w:rPr>
        <w:t xml:space="preserve">Quelle: </w:t>
      </w:r>
      <w:r>
        <w:t>https://mcp.opencaselaw.ch/entscheid/zh_verwaltungsgericht__VB.2015.00356</w:t>
      </w:r>
    </w:p>
    <w:p>
      <w:r>
        <w:t>FR: ZH_VERWALTUNGSGERICHT VB.2015.00356 du 21 octobre 2015</w:t>
      </w:r>
    </w:p>
    <w:p>
      <w:r>
        <w:t>IT: ZH_VERWALTUNGSGERICHT VB.2015.00356 del 21 ottobre 2015</w:t>
      </w:r>
    </w:p>
    <w:p>
      <w:pPr>
        <w:pStyle w:val="Heading2"/>
      </w:pPr>
      <w:r>
        <w:t>Regeste</w:t>
      </w:r>
    </w:p>
    <w:p>
      <w:r>
        <w:t>Stimmrechtsrekurs | [Nichteintreten auf einen Stimmrechtsrekurs wegen Verspätung.] Gemäss der Kaskadenordnung in § 22 Abs. 2 VRG gilt der Zeitpunkt der tatsächlichen Kenntnisnahme lediglich bei Fehlen einer rechtsgenügenden Mitteilung sowie einer amtlichen Veröffentlichung als fristauslösend (E. 2.2.1). Vorliegend unterblieb nicht nur die amtliche Veröffentlichung des angefochtenen Beschlusses; die Öffentlichkeit wurde auch nicht mittels offizieller Pressemitteilung über die Beschlussfassung informiert, weshalb die Vorinstanz den Beschwerdegegner im Rekursentscheid aufsichtsrechtlich anwies, die amtliche Publikation umgehend nachzuholen. Veröffentlicht der an die aufsichtsrechtliche Weisung gebundene Beschwerdegegner seinen Beschluss nun, fehlte es nicht länger an einem exakten Zeitpunkt für den Beginn des Fristenlaufs. Der Zeitpunkt der Veröffentlichung des Beschlusses gälte als fristauslösend. Dies muss auch bezüglich des Stimmrechtsrekurses des Beschwerdeführers gelten. Entgegen den Erwägungen der Vorinstanz hat mithin nicht die erste Kenntnisnahme des Beschlusses durch den Beschwerdeführer im Rahmen seiner Tätigkeit in der Rechnungsprüfungskommission als fristaulösend zu gelten. Die mangelhafte Publikation des beanstandeten Beschlusses darf ihm nicht zum Nachteil gereichen, zumal er nach Kenntnisnahme des Beschlusses nicht einfach untätig blieb und die gesetzlich vorgeschriebene Information der Bevölkerung hierüber abwartete, sondern auf die amtliche Publikation des Beschlusses hinwirkte. Die Rekursfrist beginnt daher auch für den Beschwerdeführer erst mit der vorzunehmenden amtlichen Veröffentlichung bzw. Mitteilung des Gemeinderatsbeschlusses zu laufen (E. 2.2.2). Nachdem die Rekursfrist bis zum heutigen Tag noch nicht zu laufen begonnen hat, wurde der Stimmrechtsrekurs des Beschwerdeführers verfrüht eingereicht und wäre darauf – wenn auch aus einem anderen Grund – nicht einzutreten gewesen. Da die Vorinstanz allerdings in diesem Fall mit ihrer aufsichtsrechtlichen Anweisungindirekt selbst die Ursache für das Nichteintreten gesetzt hätte und mangels anderweitiger Anhaltspunkte in den Akten davon auszugehen ist, der Beschwerdeführer halte an seinen im Rekursverfahren vorgebrachten Rügen fest, erwiese sich ein Nichteintreten vorliegend als überspitzt formalistisch. Die Vorinstanz ist deshalb gehalten, den Stimmrechtrekurs des Beschwerdeführers bis zur Veröffentlichung des beschwerdegegnerischen Beschlusses pendent zu halten und hernach materiell zu beurteilen (E. 2.3). Gutheissung der Beschwerde, soweit darauf eingetreten wird.</w:t>
      </w:r>
    </w:p>
    <w:p>
      <w:pPr>
        <w:pStyle w:val="Heading2"/>
      </w:pPr>
      <w:r>
        <w:t>Erwägungen</w:t>
      </w:r>
    </w:p>
    <w:p>
      <w:r>
        <w:rPr>
          <w:b/>
        </w:rPr>
        <w:t>E. 4</w:t>
      </w:r>
    </w:p>
    <w:p>
      <w:r>
        <w:t>Gestützt auf § 65a Abs. 2 in Verbindung mit § 13 Abs. 4 VRG sind die Kosten des vor-liegenden Verfahrens auf die Gerichtskasse zu nehmen.</w:t>
      </w:r>
    </w:p>
    <w:p>
      <w:r>
        <w:rPr>
          <w:b/>
        </w:rPr>
        <w:t>E. 5</w:t>
      </w:r>
    </w:p>
    <w:p>
      <w:r>
        <w:t>Zur Rechtsmittelbelehrung des nachfolgenden Dispositivs ist Folgendes zu erläutern: Letztinstanzliche kantonale Rückweisungsentscheide sind als Zwischenentscheide im Sinn von Art. 93 des Bundesgerichtsgesetzes vom 17. Juni 2005 (BGG, SR 173.110)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