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VB.2015.00331 vom 21. Oktober 2015</w:t>
      </w:r>
    </w:p>
    <w:p>
      <w:r>
        <w:t>ZH Verwaltungsgericht, 2015-10-21, DE</w:t>
      </w:r>
    </w:p>
    <w:p>
      <w:r>
        <w:rPr>
          <w:b/>
        </w:rPr>
        <w:t xml:space="preserve">Quelle: </w:t>
      </w:r>
      <w:r>
        <w:t>https://mcp.opencaselaw.ch/entscheid/zh_verwaltungsgericht__VB.2015.00331</w:t>
      </w:r>
    </w:p>
    <w:p>
      <w:r>
        <w:t>FR: ZH_VERWALTUNGSGERICHT VB.2015.00331 du 21 octobre 2015</w:t>
      </w:r>
    </w:p>
    <w:p>
      <w:r>
        <w:t>IT: ZH_VERWALTUNGSGERICHT VB.2015.00331 del 21 ottobre 2015</w:t>
      </w:r>
    </w:p>
    <w:p>
      <w:pPr>
        <w:pStyle w:val="Heading2"/>
      </w:pPr>
      <w:r>
        <w:t>Regeste</w:t>
      </w:r>
    </w:p>
    <w:p>
      <w:r>
        <w:t>Staatsbeiträge, Stellenplan für das Angebot Mutter&amp;Kind Units | [Staatsbeiträge für ein Jugendheim, in dem Kleinkinder bis im Alter von drei Jahren und deren Mütter betreut werden.] Verletzung des Rechtsverzögerungsverbots durch die Vorinstanz (E. 2). Verletzung der Begründungspflicht sowohl durch das AJB als auch durch die Vorinstanz (E. 3). Das Angebot des Beschwerdeführers bezweckt, Mütter zu befähigen, ihre Kinder selbständig zu betreuen. Diese Erziehungsbefähigung substituiert die sonst notwendige Fremdbetreuung. Nach dem Sinn und Zweck des Jugendheimegesetzes sind die gegenüber den Müttern erbrachten, aber letztlich deren Kindern dienenden Leistungen ebenfalls beitragsberechtigt (E. 4). Rückweisung an das AJB.</w:t>
      </w:r>
    </w:p>
    <w:p>
      <w:pPr>
        <w:pStyle w:val="Heading2"/>
      </w:pPr>
      <w:r>
        <w:t>Erwägungen</w:t>
      </w:r>
    </w:p>
    <w:p>
      <w:r>
        <w:rPr>
          <w:b/>
        </w:rPr>
        <w:t>E. 4</w:t>
      </w:r>
    </w:p>
    <w:p>
      <w:r>
        <w:t>. A., Bern 20 14 , § 25 N. 3 ff.; Ulrich Häfelin/Georg Müller/Felix Uhlmann, Allgemeines Verwaltungsrecht, 6. A., Zürich/St. Gallen 2010, Rz. 214 ff. [je mit weiteren Hinweisen]). Nach dem Wortlaut von § 8 Abs. 1 lit. b JugendheimeG leistet der Staat nur Kostenanteile für die Besoldung der Leitungspersonen sowie Mitarbeitender in Erziehung und Berufsbildung (der Kinder). Vorliegend stehen nicht Erziehungsleistungen gegenüber den Kindern im Streit, sondern vielmehr Leistungen im Zusammenhang mit der Anleitung der Mütter, damit diese später wiederum ihre Kinder betreuen und erziehen können. Nach dem engen Wortlaut des Gesetzes könnten dafür keine Beiträge geleistet werden. Diese Auslegung greift indes zu kurz. Der Gesetzgeber dürfte sich bei der Regelung des Anwendungsbereichs vom klassischen Jugendheim haben leiten lassen, das heisst einer Institution, in der sich ausschliesslich Kinder und Jugendliche zur Betreuung und Erziehung aufhalten. Dass Mischformen wie das Angebot des Beschwerdeführers vom Wortlaut nicht abgedeckt sind, ist deshalb nicht auf ein qualifiziertes Schweigen (vgl. hierzu René Wiederkehr/Paul Richli, Praxis des allgemeinen Verwaltungsrechts, Bd. I, Bern 2012, Rz. 1229 ff. mit zahlreichen Hinweisen), sondern darauf zurückzuführen, dass der Gesetzgeber sich solcher Angebote gar nicht bewusst war – zumal im Zeitpunkt des Erlasses des Jugendheimgesetzes kaum schon solche Angebote bestanden haben dürften (vgl. ABl 1961, 601 ff.; Prot. KR 1959–63, S. 1877 ff.). Es ist deshalb zu prüfen, ob nach dem Sinn und Zweck des Gesetzes auch die Leistungen des Beschwerdeführers im Zusammenhang mit der Befähigung der Mütter zur Betreuung ihrer Kinder beitragsberechtigt sind. Gemäss der Weisung des Regierungsrats sollen (nur) die Personalkosten der Leitung sowie derjenigen Personen, die erzieherisch tätig sind, beitragsberechtigt sein (ABl 1961, 601 ff., 613). In den Beratungen des Kantonsrats wurde an der Formulierung von § 8 Abs. 1 lit. b JugendheimeG Kritik geübt, weil nicht berücksichtigt werde, dass bei der Erziehung von Kindern auch die Tätigkeit weiterer Mitarbeitender von grosser Bedeutung sei. Regierungsrat König antwortete darauf, der Begriff "Erzieher" solle "weitherzig" ausgelegt werden; hingegen ersuchte er um Ablehnung des Antrags, die Worte "Erziehung und Betreuung" in lit. b zu streichen bzw. das Wort "Erziehern" in lit. c durch "Mitarbeitern" zu ersetzen; er wies darauf hin, dass andernfalls "Köchinnen für ihre Weiterbildung im Kochen Staatsbeiträge erhielten" (Prot. KR 1959–63, S. 1877 ff., 1886). Die Regelung von § 8 Abs. 1 lit. b und c JugendheimeG ist demnach so zu verstehen, dass Erziehungsarbeit in einem weiten Sinn unter die Beitragsberechtigung fällt, hingegen Aufgaben, die offenkundig keinen direkten Zusammenhang mit der Erziehung der Kinder haben, nicht darunterfallen. Es sind also die Personalkosten für diejenigen Leistungen grundsätzlich beitragsberechtigt, die im Ergebnis der Erziehung der Kinder dienen. Entscheidend kann hier deshalb nicht sein, ob das Kind oder die Mutter Adressatin der Betreuungsleistungen ist, sondern wem diese im Ergebnis dienen. Dabei ist folgende Überlegung zu berücksichtigen: Gelingt es, die Mütter zu befähigen, selber für ihr Kind zu sorgen, kann damit eine andernfalls unumgängliche Fremdplatzierung verhindert werden. Mithin substituiert in diesen Fällen die Erziehungsbefähigung der Mütter die andernfalls notwendige Platzierung in einem Jugendheim oder einer Pflegefamilie. Das Angebot richtet sich sodann nur an Kinder bis drei Jahre (und ihre Mütter), also an Kinder, die einer – andernfalls von Erziehenden eines Jugendheims erbrachten – umfassenden Betreuung bedürfen. Unter diesem Gesichtspunkt erschiene es widersprüchlich, wenn an die entsprechenden Leistungen des Beschwerdeführers keine, bei einer direkten Einweisung in ein Jugendheim hingegen volle Beiträge geleistet würden. In diesem Sinn lassen sich die entsprechenden Normen des Jugendheimegesetzes und der Jugendheimeverordnung im vorliegenden Kontext so verstehen, dass diejenigen Leistungen beitragsberechtigt sind, welche einen Zusammenhang mit der von einem Jugendheim übernommenen Erziehungsaufgabe gegenüber dem Kind aufweisen. Ein solcher Zusammenhang ist hier nach dem Gesagten für diejenigen Leistungen gegeben, welche dazu dienen, die Mütter zur Betreuung ihrer Kinder zu befähigen. Diese Leistungen sind somit nach dem Sinn und Zweck der gesetzlichen Regelung beitragsberechtigt.</w:t>
      </w:r>
    </w:p>
    <w:p>
      <w:r>
        <w:rPr>
          <w:b/>
        </w:rPr>
        <w:t>E. 4.1</w:t>
      </w:r>
    </w:p>
    <w:p>
      <w:r>
        <w:t>Gemäss § 7 Abs. 2 des Gesetzes über die Jugendheime und die Pflegekinderfürsorge vom 1. April 1962 (Jugendheimegesetz [JugendheimeG, LS 852.2]) leistet der Staat anerkannten privaten Trägern für ihre Jugendheime Kostenanteile bis zur vollen Höhe der beitragsberechtigten Ausgaben. Beitragsberechtigt sind nach § 8 Abs. 1 JugendheimeG Ausgaben für die Errichtung, Erweiterung oder Erneuerung von Gebäuden und die Anschaffung beweglicher Einrichtungen (lit. a), für die Besoldung der Leitenden der Jugendheime und ihrer Mitarbeitenden in Erziehung und Berufsbildung sowie die Arbeitgeberleistungen an Einrichtungen der Alters-, Invaliditäts- und Hinterlassenenfürsorge (lit. b) und die Aus- und Weiterbildung von Leitenden und Erziehenden (lit. c). Über die allgemeine Beitragsberechtigung der einzelnen Jugendheime entscheidet nach § 10 Abs. 1 der Verordnung über die Jugendheime vom 4. Oktober 1962 (Jugendheimeverordnung [JugendheimeV, LS 852.21]) der Regierungsrat. Im Sinn dieser Bestimmung hat der Regierungsrat mit Beschluss vom 11. April 2012 das Angebot C des Beschwerdeführers ohne Einschränkungen als beitragsberechtigt anerkannt.</w:t>
      </w:r>
    </w:p>
    <w:p>
      <w:r>
        <w:rPr>
          <w:b/>
        </w:rPr>
        <w:t>E. 4.2</w:t>
      </w:r>
    </w:p>
    <w:p>
      <w:r>
        <w:t>Nach § 10a Abs. 1 der Verordnung über die Bewilligungen im Bereich der ausserfamiliären Betreuung vom 25. Januar 2012 (V BAB, LS 852.23) bewilligt das AJB den Betrieb von Kinder- und Jugendheimen, wenn diese die Voraussetzungen gemäss Art. 15 der (eidgenössischen) Pflegekinderverordnung vom 19. Oktober 1977 (PAVO, SR 211.222.338) erfüllen; mit dem Bewilligungsgesuch ist ein Konzept einzureichen, welches folgende Angaben enthält: Zweck, rechtliche Form und finanzielle Grundlagen des Heims; Anzahl, Alter und Art der aufzunehmenden Minderjährigen, gegebenenfalls Unterrichtsprogramm oder therapeutisches Angebot; Personalien und Ausbildung der Leitenden, Anzahl und Ausbildung der Mitarbeitenden; Anordnung und Einrichtung der Wohn-, Unterrichts- und Freizeiträume; die sozialpädagogischen Grundsätze und das Qualitätsmanagement (§ 10a Abs. 2 V BAB in Verbindung mit Art. 14 Abs. 1 PAVO). Gestützt auf das bewilligte Konzept legt das AJB die Zahl der beitragsberechtigten und weiteren Stellen und deren anrechenbare Lohnklassen gemäss kantonalem Personalrecht fest (§ 15 Abs. 1 JugendheimeV).</w:t>
      </w:r>
    </w:p>
    <w:p>
      <w:r>
        <w:rPr>
          <w:b/>
        </w:rPr>
        <w:t>E. 4.3</w:t>
      </w:r>
    </w:p>
    <w:p>
      <w:r>
        <w:t>Das AJB bzw. zuvor die Bildungsdirektion haben das Konzept des Beschwerdeführers am 25. Mai 2012 bzw. 30. Mai 2008 bewilligt. Dieses Konzept sieht im Wesentlichen vor, dass in acht Wohneinheiten Mütter mit Säuglingen bzw. Kindern bis drei Jahren beherbergt werden, wobei die Unterbringung auch der Mutter dazu dient, deren Alltags- und Erziehungskompetenzen abzuklären und nach Möglichkeit zu verbessern. Übergeordnetes Ziel des Angebots ist die Sicherung des Kindeswohls und die altersentsprechende Förderung der Kinder sowie die Vorbereitung der Mütter auf ein möglichst selbständiges Leben. Die Unterbringung dient demnach – neben der Betreuung der Kinder – einerseits der Abklärung, ob die Mutter das Kindeswohl überhaupt genügend wahren kann, und anderseits der Verbesserung der Fähigkeiten der Mutter, um damit nach Möglichkeit zu verhindern, dass die Kinder extern platziert werden müssen. Der Regierungsrat führt in seinem Beschluss vom 11. April 2012 betreffend Beitragsberechtigung des Beschwerdeführers aus, dessen Angebot entspreche einem öffentlichen Interesse; es bestehe damit die Chance, dass die Fremdplatzierung von Kindern nur vorübergehend sei, weil die Erziehungskompetenz der Mutter so gestärkt werde, dass sie das Kind mittelfristig selbständig ausserhalb des Heims betreuen und erziehen könne. Damit könnten die Kosten für langfristige, teure Heimaufenthalte, die in der Regel vom Kanton und der Gemeinde finanziert würden, verringert werden.</w:t>
      </w:r>
    </w:p>
    <w:p>
      <w:r>
        <w:rPr>
          <w:b/>
        </w:rPr>
        <w:t>E. 4.4</w:t>
      </w:r>
    </w:p>
    <w:p>
      <w:r>
        <w:t>Das AJB und die Vorinstanz haben den Stellenplan des Beschwerdeführers im Wesentlichen danach unterteilt, ob die betreffenden Personen für Arbeiten direkt mit dem Kind oder für solche mit der Mutter vorgesehen sind. Erstere Stellen wurden als beitragsberechtigt anerkannt, letztere nicht. Begründet wird dies im Wesentlichen damit, dass § 14 Abs. 1 und Abs. 2 lit. b JugendheimeV Kostenanteile nur für den Aufenthalt von Kindern und Jugendlichen sowie – in Ausnahmefällen – von jungen Erwachsenen bis zum vollendeten 22. Altersjahr in Jugendheimen vorsähen. Diese Regelung sei abschliessend, weshalb es an einer gesetzlichen Grundlage fehle, um dem Beschwerdeführer auch für den Aufenthalt der Mütter Kostenanteile zu leisten.</w:t>
      </w:r>
    </w:p>
    <w:p>
      <w:r>
        <w:rPr>
          <w:b/>
        </w:rPr>
        <w:t>E. 4.5</w:t>
      </w:r>
    </w:p>
    <w:p>
      <w:r>
        <w:t>Jugendheime im Sinn des Gesetzes sind Heime, die dazu bestimmt sind, mehr als fünf Kinder, Jugendliche und junge Erwachsene bis zum vollendeten 22. Altersjahr zur Erziehung und Betreuung aufzunehmen (§ 1 Abs. 1 JugendheimeG) . Ob ein Jugendheim vorliegt, entscheidet sich demnach in erster Linie danach, ob es dazu bestimmt ist, Kinder und Jugendliche zur Erziehung und Betreuung aufzunehmen. Das trifft für das Angebot C des Beschwerdeführer s unbestrittenermassen zu: Diese dien en primär der Aufnahme von Säuglingen und Kleinkindern, die jedoch von ihren Müttern begleitet werden. Entscheidend ist dabei, dass die Mütter ihrerseits auch ausserhalb des Heims leben könnten, die Kinder hingegen zwingen d auf Betreuung durch Fachpersonen angewiesen sind. In diesem Sinn wurde das Konzept des Beschwerdeführers vom AJB bewilligt und hat der Regierungsrat die grundsätzliche Beitragsberechtigung anerkannt. Im Gegensatz zu anderen Jugendheimen werden im Angebot C des Beschwerdeführers aber nicht nur Kinder, sondern auch deren Mütter betreut. Es ist deshalb zu prüfen, ob der Betreuungsaufwand für die Mutter in der vorliegenden Konstellation ebenfalls beitragsberechtigt im Sinn des Jugendheimegesetzes ist.</w:t>
      </w:r>
    </w:p>
    <w:p>
      <w:r>
        <w:rPr>
          <w:b/>
        </w:rPr>
        <w:t>E. 4.6</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w:t>
      </w:r>
    </w:p>
    <w:p>
      <w:r>
        <w:rPr>
          <w:b/>
        </w:rPr>
        <w:t>E. 4.7</w:t>
      </w:r>
    </w:p>
    <w:p>
      <w:r>
        <w:t>In diesem Zusammenhang ist sodann zu beachten, dass der Regierungsrat die Beitragsberechtigung des Beschwerdeführers für dessen Angebot C ausdrücklich anerk annt und das AJB das entsprechende Konzept gutgeheissen hat . Dieses Konzept beruht im Wesentlichen darauf , dass das Angebot C als Zwischenstation dient , um die Mütter auf ihre Betreuungsfähigkeit abzuklären und sie darin allenfalls zu stärken. Wird die darin vorgesehene Befähigung der Mütter nicht als beitragsberechtigt anerkannt, fällt das Kernelement des Konzepts dahin und reduzierte sich das Angebot auf eine Fremdplatzierung der Kinder, bei der diese durch ihre Mütter begleitet werden. Insofern steht die Ausgangsverfügung auch i m Widerspruch zum Entscheid des Regierungsrats , der gerade die im Konzept vorgesehenen Leistungen gegenüber den Müttern als besonders wünschenswert hervorhob und ausdrücklich auch die Wohnplätze für die Mütter als beitragsberechtigt anerkannte . Hätte der Regierungsrat die Beitragsberechtigung auf direkte Leistungen gegenüber den Kindern beschränken und das Kernelement des Angebots des Beschwerdeführers demnach gerade nicht für beitragsberechtigt erklären wollen, hätte sich aufgedrängt, dies ausdrücklich zu deklarieren. Der Regierungsrat ging jedoch im Gegenteil davon aus, dass ein öffentliches Interesse a m Angebot in seiner Gesamtheit bestehe und dieses unter anderem dazu dienen könne, spätere Kosten für eine dadurch nicht mehr notwendige Fremdplatzierung zu sparen. Mithin ging auch der Regierungsrat davon aus, dass das Angebot des Beschwerdeführers in seiner Gesamtheit einen engen Kon n ex mit einer Platzierung von Kindern in Jugendheimen aufweist. In diesem Sinn ist es nicht sachgerecht, zwischen der Arbeit direkt mit dem Kind und der Arbeit mit dessen Mutter – welche indirekt wiederum dem Kind dient – eine scharfe Trennlinie zu ziehen. Damit bestünde eine erhebliche Gefahr, dass die zuweisenden Stellen aus Kostengründen auf das Angebot des Beschwerdeführers verzichteten und direkt eine Fremdplatzierung anordneten. Zudem bestünde ein gewisser Anreiz, aus Kostengründen möglichst viele Leistungen den Müttern und nicht den Kindern anzurechnen und damit die Höhe des Staatsbeitrags zu beeinflussen. Dies widerspräche einerseits dem Kindeswohl, nach der überzeugenden Auffassung des Regierungsrats aber auch dem öffentlichen Interesse an einer über längere Frist gesehen kostengünstigeren Lösung. Im Übrigen mutet es in diesem Zusammenhang seltsam an, wenn das AJB erhebliche Leistungen des Beschwerdeführers nicht als beitragsberechtigt anerkennen will, weil es sich um Erziehungsleistungen gegenüber den Müttern handle, gleichzeitig aber davon ausgeht, die Mütter seien in der Lage, ihre Kinder zu erheblichen Teilen selbst zu betreuen, weshalb sich der Betreuungsaufwand für die Kinder reduziere.</w:t>
      </w:r>
    </w:p>
    <w:p>
      <w:r>
        <w:rPr>
          <w:b/>
        </w:rPr>
        <w:t>E. 4.8</w:t>
      </w:r>
    </w:p>
    <w:p>
      <w:r>
        <w:t>Demnach sind auch diejenigen Stellen als beitragsberechtigt zu betrachten, welche der Befähigung der Mutter dienen, ihr Kind selbständig zu betreuen. Der Stellenplan ist somit neu so festzusetzen, dass diejenigen Stellen, deren Tätigkeit mit den Müttern im Sinn der obigen Ausführungen indirekt auch dem Kind dienen, als beitragsberechtigt anerkannt werden. Beschwerdeführer und AJB machen hierzu zwar Ausführungen; diese sind aber nicht hinreichend schlüssig, um im heutigen Zeitpunkt eine klare Abgrenzung zwischen allein den Müttern und im Sinn des Ausgeführten im Ergebnis (auch) den Kindern dienenden Leistungen vorzunehmen. Dem Verwaltungsgericht fehlt es sodann an der notwendigen Fachkompetenz, um ohne zusätzliche Information eine entsprechende Abgrenzung gestützt auf das Konzept des Beschwerdeführers vorzunehmen. Schliesslich gilt es in diesem Zusammenhang auch zu beachten, dass § 15 Abs. 1 JugendheimeV dem AJB einen gewissen Ermessensspielraum einräumt. Aus diesen Gründen rechtfertigt sich, die Angelegenheit im Sinn der Erwägungen an das AJB zurückzuweisen.</w:t>
      </w:r>
    </w:p>
    <w:p>
      <w:r>
        <w:rPr>
          <w:b/>
        </w:rPr>
        <w:t>E. 5</w:t>
      </w:r>
    </w:p>
    <w:p>
      <w:r>
        <w:t>Nach dem Gesagten ist die Beschwerde teilweise gutzuheissen. Dispositiv-Ziff. I der Verfügung der Bildungsdirektion vom 21. April 2015 sowie die Verfügung des AJB vom 29. Januar 2013 sind aufzuheben und die Angelegenheit im Sinn der Erwägungen an das AJB zurückzuweisen. Da der Beschwerdeführer im Rekursverfahren nunmehr als obsiegend anzusehen ist, sind die Verfahrenskosten in Abänderung von Dispositiv-Ziff. II der Verfügung der Bildungsdirektion vom 21. April 2015 dem Beschwerdegegner aufzuerlegen. Schliesslich ist festzustellen, dass die Bildungsdirektion das Rechtsverzögerungsverbot verletzt hat.</w:t>
      </w:r>
    </w:p>
    <w:p>
      <w:r>
        <w:rPr>
          <w:b/>
        </w:rPr>
        <w:t>E. 6</w:t>
      </w:r>
    </w:p>
    <w:p>
      <w:r>
        <w:t>Ausgangsgemäss sind die Gerichtskosten zu 4/5 dem Beschwerdegegner und – aufgrund der Verletzung des Rechtsverzögerungsverbots – zu 1/5 der Bildungsdirektion aufzuerlegen (§ 65a Abs. 2 in Verbindung mit § 13 Abs. 2 Satz 1 VRG). Der Beschwerdegegner ist zu verpflichten, dem Beschwerdeführer für das verwaltungsgerichtliche Verfahren eine Parteientschädigung von Fr. 3'000.- (zuzüglich 8 % Mehrwertsteuer) zu bezahlen.</w:t>
      </w:r>
    </w:p>
    <w:p>
      <w:r>
        <w:rPr>
          <w:b/>
        </w:rPr>
        <w:t>E. 7</w:t>
      </w:r>
    </w:p>
    <w:p>
      <w:r>
        <w:t>Zur Rechtsmittelbelehrung des nachfolgenden Dispositivs ist Folgendes zu erläutern: Art. 83 lit. k des Bundesgerichtsgesetzes vom 17. Juni 2005 (BGG, SR 173.110) erklärt die Beschwerde in öffentlichrechtlichen Angelegenheiten gegen Entscheide über Subventionen für unzulässig, auf die kein Anspruch besteht. Soweit ein Anspruch auf die Subvention, um die es hier im Hintergrund geht, geltend gemacht wird, kann demnach die ordentliche Beschwerde erhoben werden. Andernfalls steht nur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