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VB.2015.00300 vom 1. April 2008</w:t>
      </w:r>
    </w:p>
    <w:p>
      <w:r>
        <w:t>ZH Verwaltungsgericht, 2008-04-01, DE</w:t>
      </w:r>
    </w:p>
    <w:p>
      <w:r>
        <w:rPr>
          <w:b/>
        </w:rPr>
        <w:t xml:space="preserve">Quelle: </w:t>
      </w:r>
      <w:r>
        <w:t>https://mcp.opencaselaw.ch/entscheid/zh_verwaltungsgericht__VB.2015.00300</w:t>
      </w:r>
    </w:p>
    <w:p>
      <w:r>
        <w:t>FR: ZH_VERWALTUNGSGERICHT VB.2015.00300 du 1 avril 2008</w:t>
      </w:r>
    </w:p>
    <w:p>
      <w:r>
        <w:t>IT: ZH_VERWALTUNGSGERICHT VB.2015.00300 del 1 aprile 2008</w:t>
      </w:r>
    </w:p>
    <w:p>
      <w:pPr>
        <w:pStyle w:val="Heading2"/>
      </w:pPr>
      <w:r>
        <w:t>Regeste</w:t>
      </w:r>
    </w:p>
    <w:p>
      <w:r>
        <w:t>Verweis | [Verweis] Die Beweislast für das Vorliegen eines Disziplinarfehlers trägt die Schule. Dabei hat sie substanziiert darzutun, welches Verhalten einer Schülerin oder einem Schüler konkret vorgeworfen werde (E. 3.2). Vorliegend ist die von der Beschwerdeführerin als Grund für den Verweis angeführte Pflichtverletzung nicht in genügender Weise dargetan und kann sie mithin nicht Grundlage der umstrittenen Disziplinarmassnahme bilden (E. 3.4). Es ist der Rekursinstanz verwehrt, den (tatsächlichen) Anlass für den ausgesprochenen Verweis zu substituieren (E. 3.5). Gutheissung.</w:t>
      </w:r>
    </w:p>
    <w:p>
      <w:pPr>
        <w:pStyle w:val="Heading2"/>
      </w:pPr>
      <w:r>
        <w:t>Erwägungen</w:t>
      </w:r>
    </w:p>
    <w:p>
      <w:r>
        <w:rPr>
          <w:b/>
        </w:rPr>
        <w:t>E. 4</w:t>
      </w:r>
    </w:p>
    <w:p>
      <w:r>
        <w:t>Nach dem Gesagten ist die Beschwerde gutzuheissen.</w:t>
      </w:r>
    </w:p>
    <w:p>
      <w:r>
        <w:rPr>
          <w:b/>
        </w:rPr>
        <w:t>E. 5</w:t>
      </w:r>
    </w:p>
    <w:p>
      <w:r>
        <w:t>Die Beschwerdeführenden erscheinen sowohl im vorinstanzlichen Verfahren als auch vor Verwaltungsgericht obsiegend, weshalb die Kosten des Rekurs- und des Beschwerde ­ verfahrens ausgangsgemäss der Beschwerdegegnerin aufzuerlegen sind (§ 13 Abs. 2 Satz 1, teilweise in Verbindung mit § 65a Abs. 2 VRG; Kaspar Plüss in: Alain Griffel [Hrsg.], Kommentar zum Verwaltungsrechtspflegegesetz des Kantons Zürich [VRG], 3. A., Zürich etc. 2014, § 13 N. 66). Desgleichen hat die Beschwerdegegnerin für das Rekurs- und das Beschwerdeverfahren eine angemessene Parteientschädigung zu bezahlen (§ 17 Abs. 2 lit. a VRG).</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2011, Art. 83 BGG N. 299). In diesem Sinn ist im Dispositiv auf die Beschwerde in öffentlichrechtlichen Angelegenheiten zu verweisen (vgl. auch BGr, 1. April 2008, 2C_704/2007,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