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VB.2015.00080 vom 16. Dezember 2009</w:t>
      </w:r>
    </w:p>
    <w:p>
      <w:r>
        <w:t>ZH Verwaltungsgericht, 2009-12-16, DE</w:t>
      </w:r>
    </w:p>
    <w:p>
      <w:r>
        <w:rPr>
          <w:b/>
        </w:rPr>
        <w:t xml:space="preserve">Quelle: </w:t>
      </w:r>
      <w:r>
        <w:t>https://mcp.opencaselaw.ch/entscheid/zh_verwaltungsgericht__VB.2015.00080</w:t>
      </w:r>
    </w:p>
    <w:p>
      <w:r>
        <w:t>FR: ZH_VERWALTUNGSGERICHT VB.2015.00080 du 16 décembre 2009</w:t>
      </w:r>
    </w:p>
    <w:p>
      <w:r>
        <w:t>IT: ZH_VERWALTUNGSGERICHT VB.2015.00080 del 16 dicembre 2009</w:t>
      </w:r>
    </w:p>
    <w:p>
      <w:pPr>
        <w:pStyle w:val="Heading2"/>
      </w:pPr>
      <w:r>
        <w:t>Regeste</w:t>
      </w:r>
    </w:p>
    <w:p>
      <w:r>
        <w:t>Nachträgliches Baubewilligungsverfahren | Ohne Bewilligung an Sitzplatzüberdachung angebrachte Rollfenster im Abstandsbereich: Nachträgliches Baubewilligungsverfahren. Aus dem projektbezogen erteilten Näherbaurecht für den Bau der Sitzplatzüberdachung lässt sich keine Pflicht ableiten, irgendwelchen Änderungen in Form von Umbauten oder Ergänzungen zuzustimmen. Ebenso wenig könnte eine stillschweigende Zustimmung durch das Tolerieren des Zustandes ein Näherbauchrecht begründen (E. 3.1). Baut jemand ohne Bewilligung oder weicht er von den bewilligten Plänen wesentlich ab, so stellt dies eine formell rechtswidrige Handlung dar. Wenn Anhaltspunkte für einen bewilligungspflichtigen Sachverhalt vorliegen, ist im Rahmen eines gesetzlich nicht speziell geregelten, nachträglichen Baubewilligungsverfahrens zu prüfen, ob die bereits erstellten Bauteile bewilligungsfähig sind oder nicht (E. 3.2). Nach der verwaltungsgerichtlichen Rechtsprechung kann von einem Nachbarn, welcher durch ein nicht bewilligtes Bauvorhaben auf einem Nachbargrundstück betroffen ist, nach Treu und Glauben erwartet werden, dass er innert nützlicher Frist die Behörde auf den Mangel hinweist und eine Verfügung erwirkt, die ihm Zugang zum Verfahren verschafft (E. 4.3). Aus dem Umstand, dass der Vater der Beschwerdegegnerin in den Monaten vor seinem Tod bei der Behörde keine Einwände gegen die Montage der Rollfenster vorgebracht hatte, zu schliessen, dass er damit sein Recht, ein nachträgliches Baubewilligungsverfahren zu verlangen verwirkt habe, würde zum Grundsatz von Treu und Glauben im Widerspruch stehen (E. 4.5). Abweisung.</w:t>
      </w:r>
    </w:p>
    <w:p>
      <w:pPr>
        <w:pStyle w:val="Heading2"/>
      </w:pPr>
      <w:r>
        <w:t>Erwägungen</w:t>
      </w:r>
    </w:p>
    <w:p>
      <w:r>
        <w:rPr>
          <w:b/>
        </w:rPr>
        <w:t>E. 5</w:t>
      </w:r>
    </w:p>
    <w:p>
      <w:r>
        <w:t>Bei diesem Ausgang des Verfahrens wird der Beschwerdeführer kostenpflichtig (§ 13 Abs. 2 VRG). Eine Parteientschädigung steht ihm von vornherein nicht zu; hingegen ist eine solche Entschädigung antragsgemäss der privaten Beschwerdegegnerin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