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VB.2015.00070 vom 2. September 2015</w:t>
      </w:r>
    </w:p>
    <w:p>
      <w:r>
        <w:t>ZH Verwaltungsgericht, 2015-09-02, DE</w:t>
      </w:r>
    </w:p>
    <w:p>
      <w:r>
        <w:rPr>
          <w:b/>
        </w:rPr>
        <w:t xml:space="preserve">Quelle: </w:t>
      </w:r>
      <w:r>
        <w:t>https://mcp.opencaselaw.ch/entscheid/zh_verwaltungsgericht__VB.2015.00070</w:t>
      </w:r>
    </w:p>
    <w:p>
      <w:r>
        <w:t>FR: ZH_VERWALTUNGSGERICHT VB.2015.00070 du 2 septembre 2015</w:t>
      </w:r>
    </w:p>
    <w:p>
      <w:r>
        <w:t>IT: ZH_VERWALTUNGSGERICHT VB.2015.00070 del 2 settembre 2015</w:t>
      </w:r>
    </w:p>
    <w:p>
      <w:pPr>
        <w:pStyle w:val="Heading2"/>
      </w:pPr>
      <w:r>
        <w:t>Regeste</w:t>
      </w:r>
    </w:p>
    <w:p>
      <w:r>
        <w:t>Neueinreihung/Lohnnachzahlung | [Neuplatzierung einer Stelle in einer höheren Funktionsstufe] Die Beschwerdeführerin macht geltend, die Neueinreihung ihrer Stelle in einer höheren Funktionsstufe lasse darauf schliessen, dass die ursprüngliche Platzierung ihrer Stelle rechtsfehlerhaft gewesen sei. Die ursprüngliche Zuweisung der Stelle ist formell rechtskräftig. Die von der Beschwerdeführerin anbegehrte rückwirkende Gewährung der Höhereinreihung ihrer Stelle setzte daher mit Bezug auf die frühere Einreihungsverfügung einen Rückkommensanspruch voraus (E. 2.1 f.). Eine unrichtige Rechtsanwendung ist grundsätzlich im Anschluss an die Verfügung durch das Ergreifen ordentlicher Rechtsmittel zu rügen und rechtfertigt nur dann ganz ausnahmsweise ein Rückkommen auf die Verfügung, wenn dieser schwerwiegende materielle Fehler anhaften. Solche schwerwiegenden Mängel werden zu Recht nicht geltend gemacht (E. 2.4). Mangels eines Rückkommensgrunds besteht kein Anspruch auf Überprüfung der ursprünglichen Platzierung der Stelle (E. 2.5). Abweisung.</w:t>
      </w:r>
    </w:p>
    <w:p>
      <w:pPr>
        <w:pStyle w:val="Heading2"/>
      </w:pPr>
      <w:r>
        <w:t>Erwägungen</w:t>
      </w:r>
    </w:p>
    <w:p>
      <w:r>
        <w:rPr>
          <w:b/>
        </w:rPr>
        <w:t>E. 4</w:t>
      </w:r>
    </w:p>
    <w:p>
      <w:r>
        <w:t>Das vorliegende Verfahren ist gemäss § 65a Abs. 3 VRG kostenlos. Der unterliegenden Beschwerdeführerin ist keine Parteientschädigung zuzusprechen (§ 17 Abs. 2 VRG). Auch die Beschwerdegegnerin hat die Zusprechung einer Parteientschädigung beantragt.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wenn ihre Rechtsbegehren oder die angefochtene Anordnung offensichtlich unbegründet waren (lit. b). Gemeinwesen haben jedoch – zumindest im Fall des § 17 Abs. 2 lit. a VRG – in der Regel keinen Anspruch auf Parteientschädigung; vor allem grössere und leistungsfähigere sind gehalten, sich so zu organisieren, dass sie Verwaltungsstreitsachen selbst durchfechten können (Kaspar Plüss, Kommentar VRG, § 17 N. 51). Der im vorliegenden Fall zu leistende Aufwand erscheint nicht als aussergewöhnlich, sondern als im Rahmen der ordentlichen Verwaltungstätigkeit liegend. Auch ist das Begehren der Beschwerdeführerin nicht als offensichtlich unbegründet zu beurteilen. Folglich ist (auch) der Beschwerdegegnerin keine Parteientschädigung zuzusprechen.</w:t>
      </w:r>
    </w:p>
    <w:p>
      <w:r>
        <w:rPr>
          <w:b/>
        </w:rPr>
        <w:t>E. 5</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