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VB.2014.00724 vom 15. Juli 2010</w:t>
      </w:r>
    </w:p>
    <w:p>
      <w:r>
        <w:t>ZH Verwaltungsgericht, 2010-07-15, DE</w:t>
      </w:r>
    </w:p>
    <w:p>
      <w:r>
        <w:rPr>
          <w:b/>
        </w:rPr>
        <w:t xml:space="preserve">Quelle: </w:t>
      </w:r>
      <w:r>
        <w:t>https://mcp.opencaselaw.ch/entscheid/zh_verwaltungsgericht__VB.2014.00724</w:t>
      </w:r>
    </w:p>
    <w:p>
      <w:r>
        <w:t>FR: ZH_VERWALTUNGSGERICHT VB.2014.00724 du 15 juillet 2010</w:t>
      </w:r>
    </w:p>
    <w:p>
      <w:r>
        <w:t>IT: ZH_VERWALTUNGSGERICHT VB.2014.00724 del 15 luglio 2010</w:t>
      </w:r>
    </w:p>
    <w:p>
      <w:pPr>
        <w:pStyle w:val="Heading2"/>
      </w:pPr>
      <w:r>
        <w:t>Regeste</w:t>
      </w:r>
    </w:p>
    <w:p>
      <w:r>
        <w:t>Krankenversicherungspflicht | Krankenversicherungspflicht [Die Beschwerdegegnerin wies den Beschwerdeführer einer Krankenkasse zu.] Rechtsgrundlagen (E. 1.1.1 und 1.1.2). Die Streitigkeit fällt nicht in die Zuständigkeit des Verwaltungsgerichts, sondern in diejenige des Sozialversicherungsgerichts (E. 1.1.3). Nichteintreten. Überweisung an das Sozialversicherungsgericht.</w:t>
      </w:r>
    </w:p>
    <w:p>
      <w:pPr>
        <w:pStyle w:val="Heading2"/>
      </w:pPr>
      <w:r>
        <w:t>Erwägungen</w:t>
      </w:r>
    </w:p>
    <w:p>
      <w:r>
        <w:rPr>
          <w:b/>
        </w:rPr>
        <w:t>E. 3</w:t>
      </w:r>
    </w:p>
    <w:p>
      <w:r>
        <w:t>Die vorliegende Überweisungsverfügung stellt einen selbständig eröffneten Zwischenentscheid über die sachliche Zuständigkeit dar. Dagegen kann gemäss Art. 92 in Verbindung mit Art. 82 ff. des Bundesgerichtsgesetzes vom 17. Juni 2005 Beschwerde in öffentlich-rechtlichen Angelegenheiten erhoben werden (vgl. BGE 132 III 178 E. 1.2; VGr, 15. Juli 2010, VB.2010.00307, E. 3.2 [nicht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