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VB.2014.00704 vom 17. Dezember 2014</w:t>
      </w:r>
    </w:p>
    <w:p>
      <w:r>
        <w:t>ZH Verwaltungsgericht, 2014-12-17, DE</w:t>
      </w:r>
    </w:p>
    <w:p>
      <w:r>
        <w:rPr>
          <w:b/>
        </w:rPr>
        <w:t xml:space="preserve">Quelle: </w:t>
      </w:r>
      <w:r>
        <w:t>https://mcp.opencaselaw.ch/entscheid/zh_verwaltungsgericht__VB.2014.00704</w:t>
      </w:r>
    </w:p>
    <w:p>
      <w:r>
        <w:t>FR: ZH_VERWALTUNGSGERICHT VB.2014.00704 du 17 décembre 2014</w:t>
      </w:r>
    </w:p>
    <w:p>
      <w:r>
        <w:t>IT: ZH_VERWALTUNGSGERICHT VB.2014.00704 del 17 dicembre 2014</w:t>
      </w:r>
    </w:p>
    <w:p>
      <w:pPr>
        <w:pStyle w:val="Heading2"/>
      </w:pPr>
      <w:r>
        <w:t>Regeste</w:t>
      </w:r>
    </w:p>
    <w:p>
      <w:r>
        <w:t>Ausschaffungshaft (G.-Nr. GI140518-L/U) | Die Haftüberprüfung erfolgte nach Ablauf der 96-stündigen Frist (E. 3.1). Vorliegend wiegt die Nichtwahrung der in Art. 80 Abs. 1 AuG statuierten Frist erheblich. Sodann ist ein besonderes Interesse an der Inhaftierung des Beschwerdeführers nicht ersichtlich: Er hat sich den Behörden bisher offenbar weitgehend zur Verfügung gehalten; laut Aussage einer Mitarbeiterin beim Migrationsamt lebe er grundsätzlich immer an den ihm zugewiesenen Orten. Es bestehe keine Untertauchens- oder Fluchtgefahr. Den Aufforderungen des Migrationsamtes komme er in der Regel nach und erscheine zu den Terminen. Massgeblich fällt schliesslich ins Gewicht, dass gegen den Beschwerdeführer keine strafrechtlichen Verurteilungen vorliegen, aus welchen auf eine relevante Gefahr für die öffentliche Sicherheit und Ordnung zu schliessen wäre (E. 3.2). Gutheissung.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Vorliegend besteht kein Anlass für eine Entscheidfällung durch die Kammer.</w:t>
      </w:r>
    </w:p>
    <w:p>
      <w:r>
        <w:rPr>
          <w:b/>
        </w:rPr>
        <w:t>E. 2</w:t>
      </w:r>
    </w:p>
    <w:p>
      <w:r>
        <w:t>D er Beschwerdeführer reiste am 21. Juni 2003 in die Schweiz ein und stellte ein Asylgesuch. Dieses Gesuch wies das Bundesamt für Flüchtlinge am 11. November 2004 ab; gleichzeitig erfolgte die Wegweisung des Beschwerdeführers aus der Schweiz. Die Asylrekurskommission wies die dagegen erhobene Beschwerde am 7. Januar 2005 ab. Auch das Gesuch um Gewährung einer Härtefallbewilligung wurde abgewiesen. Den wiederholten Aufforderungen zum Verlassen der Schweiz leistete der Beschwerdeführer keine Folge. Er wurde deshalb mehrmals wegen rechtswidrigen Aufenthalts bestraft.</w:t>
      </w:r>
    </w:p>
    <w:p>
      <w:r>
        <w:rPr>
          <w:b/>
        </w:rPr>
        <w:t>E. 3</w:t>
      </w:r>
    </w:p>
    <w:p>
      <w:r>
        <w:t>Gemäss Art. 80 Abs. 2 Satz 1 AuG ist die Rechtmässigkeit und die Angemessenheit der Haft spätestens nach 96 Stunden durch eine richterliche Behörde aufgrund einer mündlichen Verhandlung zu überprüfen.</w:t>
      </w:r>
    </w:p>
    <w:p>
      <w:r>
        <w:rPr>
          <w:b/>
        </w:rPr>
        <w:t>E. 3.1</w:t>
      </w:r>
    </w:p>
    <w:p>
      <w:r>
        <w:t>Wie sich aus den Akten ergibt, ist der Beschwerdeführer am 28. November 2014, 06.15 Uhr, infolge Strafende aus der Justizvollzugsanstalt C entlassen worden. Anschliessend erfolgte die Zuführung an das Migrationsamt, wo er ab 11.27 Uhr zur Administrativhaft befragt wurde; gleichentags wurde dem Beschwerdeführer die Anordnung der Ausschaffungshaft gemäss Art. 76 Abs. 1 AuG eröffnet. Bei dieser Konstellation ist davon auszugehen, dass die Haftanordnung gemäss Art. 80 Abs. 1 AuG am 28. November 2014 erfolgt ist – dies unabhängig davon, welches Datum ursprünglich als Strafende genannt war. Die Haftüberprüfung erfolgte am 3. Dezember 2014, mithin nach Ablauf der 96-stündigen Frist. Die Überschreitung der Frist ist zur Hauptsache dem Migrationsamt anzulasten. Wie der Zwangsmassnahmenrichter festhielt, sind ihm der Antrag des Migrationsamts und die Akten erst am Nachmittag des 2. Dezember 2014 zugestellt worden, mithin zu einem Zeitpunkt, zu welchem die 96-Stunden-Frist mutmasslich bereits abgelaufen war. Zwar hätte am 2. Dezember 2014 möglicherweise noch eine Anhörung des Beschwerdeführers und eine Haftüberprüfung stattfinden können, indessen war eine solche mangels Verfügbarkeit des Rechtsvertreters jedenfalls erst am 3. Dezember 2014, vormittags durchführbar. Dass der Vertreter des Beschwerdeführers nach telefonischer Anfrage nicht in der Lage war, unverzüglich zu einer Anhörung zu erscheinen, kann ihm nicht massgeblich zur Last gelegt werden.</w:t>
      </w:r>
    </w:p>
    <w:p>
      <w:r>
        <w:rPr>
          <w:b/>
        </w:rPr>
        <w:t>E. 3.2</w:t>
      </w:r>
    </w:p>
    <w:p>
      <w:r>
        <w:t>Praxisgemäss führt allerdings nicht jede Verletzung von Verfahrensvorschriften zu einer Haftentlassung. Es kommt vielmehr jeweils darauf an, welche Bedeutung den verletzten Vorschriften für die wirksame Wahrung der Rechte des Betroffenen im Vergleich zu den Interessen an der Durchsetzung der Ausschaffung zukommt. Dieses vermag Verfahrensfehler namentlich aufzuwiegen, wenn der Ausländer die öffentliche Sicherheit und Ordnung gefährdet (vgl. BGr, 7. Juli 2009, 2C_356/2009, E. 5.4; BGE 125 II 369 E. 2e S. 374; 122 II 154 E. 3a S. 158). Die Nichtwahrung der in Art. 80 Abs. 1 AuG statuierten Frist wiegt erheblich. Sodann ist ein besonderes Interesse an der Inhaftierung des Beschwerdeführers nicht ersichtlich: Er hat sich den Behörden bisher offenbar weitgehend zur Verfügung gehalten; laut Aussage einer Mitarbeiterin beim Migrationsamt lebe er grundsätzlich immer an den ihm zugewiesenen Orten. Es bestehe keine Untertauchens- oder Fluchtgefahr. Den Aufforderungen des Migrationsamtes komme er in der Regel nach und erscheine zu den Terminen (vgl. Aktennotiz Bezirksgericht Zürich vom 5. September 2014). Massgeblich fällt schliesslich ins Gewicht, dass gegen den Beschwerdeführer keine strafrechtlichen Verurteilungen vorliegen, aus welchen auf eine relevante Gefahr für die öffentliche Sicherheit und Ordnung zu schliessen wäre. Insgesamt fällt die Interessenabwägung zugunsten des Beschwerdeführers aus. Die Nichteinhaltung der in Art. 80 Abs. 1 AuG vorgesehenen Frist führt unter Berücksichtigung des Verhältnismässigkeitsgrundsatzes zur Haftentlassung.</w:t>
      </w:r>
    </w:p>
    <w:p>
      <w:r>
        <w:rPr>
          <w:b/>
        </w:rPr>
        <w:t>E. 4</w:t>
      </w:r>
    </w:p>
    <w:p>
      <w:r>
        <w:t>Dispositiv-Ziffer 1 der Verfügung des Zwangsmassnahmengerichts vom 3. Dezember 2014 ist somit in Gutheissung der Beschwerde aufzuheben. Der Beschwerdeführer ist umgehend aus der Ausschaffungshaft zu entlassen.</w:t>
      </w:r>
    </w:p>
    <w:p>
      <w:r>
        <w:rPr>
          <w:b/>
        </w:rPr>
        <w:t>E. 5</w:t>
      </w:r>
    </w:p>
    <w:p>
      <w:r>
        <w:t>Bei diesem Ausgang des Verfahrens wird die Beschwerdegegnerin kostenpflichtig (§ 13 Abs. 2 Satz 1 in Verbindung mit § 65a Abs. 2 VRG), womit das Gesuch des Beschwerdeführers um unentgeltliche Prozessführung gegenstandslos wird. Sodann hat die Beschwerdegegnerin dem Beschwerdeführer eine angemessene Entschädigung zu entrichten (§ 17 Abs. 2 VRG). Da dem Beschwerdeführer in Anwendung von § 16 Abs. 1 und 2 VRG die unentgeltliche Rechtsverbeiständung zu gewähren ist, ist die Parteientschädigung ihrem Rechtsvertreter zuzusprechen. Sie wird angerechnet auf die Entschädigung des unentgeltlichen Rechtsbeistands.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