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VB.2014.00697 vom 2. Juni 2015</w:t>
      </w:r>
    </w:p>
    <w:p>
      <w:r>
        <w:t>ZH Verwaltungsgericht, 2015-06-02, DE</w:t>
      </w:r>
    </w:p>
    <w:p>
      <w:r>
        <w:rPr>
          <w:b/>
        </w:rPr>
        <w:t xml:space="preserve">Quelle: </w:t>
      </w:r>
      <w:r>
        <w:t>https://mcp.opencaselaw.ch/entscheid/zh_verwaltungsgericht__VB.2014.00697</w:t>
      </w:r>
    </w:p>
    <w:p>
      <w:r>
        <w:t>FR: ZH_VERWALTUNGSGERICHT VB.2014.00697 du 2 juin 2015</w:t>
      </w:r>
    </w:p>
    <w:p>
      <w:r>
        <w:t>IT: ZH_VERWALTUNGSGERICHT VB.2014.00697 del 2 giugno 2015</w:t>
      </w:r>
    </w:p>
    <w:p>
      <w:pPr>
        <w:pStyle w:val="Heading2"/>
      </w:pPr>
      <w:r>
        <w:t>Regeste</w:t>
      </w:r>
    </w:p>
    <w:p>
      <w:r>
        <w:t>Änderung des Zwischenzeugnisses | Nach § 46 Abs. 2 PG können die Angestellten jederzeit ein Zeugnis verlangen, das über die Art und Dauer des Arbeitsverhältnisses sowie über ihre Leistungen und ihr Verhalten Auskunft gibt. Da "jederzeit" ein Zeugnis verlangt werden kann, haben Arbeitnehmende grundsätzlich einen gesetzlich anerkannten Anspruch auf Ausstellung eines Zwischenzeugnisses (E. 3.1). Ein Arbeitszeugnis hat unter anderem die Grundsätze der Wahrheit und der Vollständigkeit zu beachten und zudem gemäss § 46 Abs. 2 PG namentlich über die Art und Dauer des Arbeitsverhältnisses Auskunft zu geben. Es folgt damit aus der materiellrechtlichen Regelung über das Arbeitszeugnis, dass in Bezug auf ein Zwischenzeugnis ein Berichtigungsanspruch grundsätzlich innert nützlicher Frist geltend zu machen ist. Nach einem gewissen Zeitablauf - dessen Dauer sich nicht abstrakt, sondern nur aufgrund der Umstände des Einzelfalls bestimmen lässt - ist eine Berichtigung des Zwischenzeugnisses ausgeschlossen, da stattdessen ein neues Zwischenzeugnis auszustellen ist. Denn nur ein aktuelles Zwischenzeugnis ist vollständig und gibt über die Dauer des Arbeitsverhältnisses Auskunft (E. 3.3). Abweisung.</w:t>
      </w:r>
    </w:p>
    <w:p>
      <w:pPr>
        <w:pStyle w:val="Heading2"/>
      </w:pPr>
      <w:r>
        <w:t>Erwägungen</w:t>
      </w:r>
    </w:p>
    <w:p>
      <w:r>
        <w:rPr>
          <w:b/>
        </w:rPr>
        <w:t>E. 4</w:t>
      </w:r>
    </w:p>
    <w:p>
      <w:r>
        <w:t>Nach dem Gesagten ist die Beschwerde abzuweisen. Da der Streitwert weniger als Fr. 30'000.- beträgt, sind die Gerichtskosten auf die Gerichtskasse zu nehmen (§ 65a Abs. 3 VRG). Als unterliegende Partei hat die Beschwerdeführerin keinen Entschädigungsanspruch.</w:t>
      </w:r>
    </w:p>
    <w:p>
      <w:r>
        <w:rPr>
          <w:b/>
        </w:rPr>
        <w:t>E. 5</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des Bundesgerichtsgesetzes vom 17. Juni 2005 [BGG, SR 173.110]; vgl. auch Beat Rudin, Basler Kommentar, 2011, Art. 85 N. 21).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