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VB.2014.00626 vom 17. Dezember 2014</w:t>
      </w:r>
    </w:p>
    <w:p>
      <w:r>
        <w:t>ZH Verwaltungsgericht, 2014-12-17, DE</w:t>
      </w:r>
    </w:p>
    <w:p>
      <w:r>
        <w:rPr>
          <w:b/>
        </w:rPr>
        <w:t xml:space="preserve">Quelle: </w:t>
      </w:r>
      <w:r>
        <w:t>https://mcp.opencaselaw.ch/entscheid/zh_verwaltungsgericht__VB.2014.00626</w:t>
      </w:r>
    </w:p>
    <w:p>
      <w:r>
        <w:t>FR: ZH_VERWALTUNGSGERICHT VB.2014.00626 du 17 décembre 2014</w:t>
      </w:r>
    </w:p>
    <w:p>
      <w:r>
        <w:t>IT: ZH_VERWALTUNGSGERICHT VB.2014.00626 del 17 dicembre 2014</w:t>
      </w:r>
    </w:p>
    <w:p>
      <w:pPr>
        <w:pStyle w:val="Heading2"/>
      </w:pPr>
      <w:r>
        <w:t>Regeste</w:t>
      </w:r>
    </w:p>
    <w:p>
      <w:r>
        <w:t>Massnahmen nach Gewaltschutzgesetz GS140146 | Massnahmen nach Gewaltschutzgesetz: Verlängerung des Rayonverbots und des Kontaktverbots gegenüber der zweieinhalbjährigen Tochter. Keine Verletzung des rechtlichen Gehörs, da eine Anhörung des Beschwerdeführers erfolgte und aus der Begründung des Urteils des Zwangsmassnahmengerichts die für den Entscheid wesentlichen Gesichtspunkte ersichtlich sind (E. 2). Vorliegend befindet sich die Wohnung, aus welcher der Beschwerdeführer weggewiesen wurde, im vom Rayonverbot erfassten Gebiet, so dass es für die Beschwerdegegnerin im Resultat keinen Unterschied machte, ob die Wegweisung von der Vorinstanz explizit verlängert wurde oder nicht (E. 5.2). Rüge der unrichtigen oder ungenügenden Feststellung des entscheidwesentlichen Sachverhalts. Mitwirkungspflicht bei der Sachverhaltsabklärung im Gewaltschutzverfahren. Die Person, von der (angeblich) die Gefährdung ausgeht, hat ausser ihrer Adresshinterlegungspflicht keine Mitwirkungspflicht (E. 6.2). Wiederholte Gewaltausübung gegenüber der gefährdeten Person in Anwesenheit des Kindes kann dieses selbst zu einer von (psychischer) Gewalt betroffenen Person machen. Die Verlängerung des Kontaktverbots gegenüber der Tochter lag im Ermessen der Vorinstanz (E. 7). Gewährung UP/URB (E. 8). Abweisung der Beschwerde.</w:t>
      </w:r>
    </w:p>
    <w:p>
      <w:pPr>
        <w:pStyle w:val="Heading2"/>
      </w:pPr>
      <w:r>
        <w:t>Erwägungen</w:t>
      </w:r>
    </w:p>
    <w:p>
      <w:r>
        <w:rPr>
          <w:b/>
        </w:rPr>
        <w:t>E. 7</w:t>
      </w:r>
    </w:p>
    <w:p>
      <w:r>
        <w:t>Die Beschwerdegegnerin schilderte den Vorfall vom 8. Oktober 2014 wiederholt in glaubhafter Weise. Gemäss ärztlicher Abklärung im Institut für Rechtsmedizin wies sie nach diesem Vorfall ausgeprägte Würgemale am Hals auf, wobei auf der rechten Halsseite vier Fingerabdrücke und linksseitig einer habe festgestellt werden können. Dies untermauert die Aussagen der Beschwerdegegnerin, der Beschwerdeführer habe sie gewürgt, was für die Glaubhaftigkeit der Gefährdungssituation spricht. Demnach brachte die Beschwerdegegnerin glaubhaft vor, sie sei in ihrer psychischen als auch physischen Integrität verletzt worden, und es liege weiterhin eine Gefährdungssituation vor. Ein auf freiwilliger Basis im Rahmen der allfälligen Eheschutzvereinbarung vereinbartes Kontaktverbot kann die Schutzmassnahmen gemäss Gewaltschutzgesetz, insbesondere das Rayonverbot, nicht ersetzen (vgl. § 7 Abs. 1 GSG). Die Verlängerung des Rayonverbots erweist sich deshalb als rechtmässig.</w:t>
      </w:r>
    </w:p>
    <w:p>
      <w:r>
        <w:rPr>
          <w:b/>
        </w:rPr>
        <w:t>E. 8.1</w:t>
      </w:r>
    </w:p>
    <w:p>
      <w:r>
        <w:t>Betreffend dem Kontaktverbot gegenüber der Tochter E ist fraglich, ob diese als gefährdete Person im Sinn von § 2 Abs. 3 GSG zu gelten hat bzw. ob sie aufgrund der vom Beschwerdeführer gegenüber der Beschwerdegegnerin ausgeübten häuslichen Gewalt in ihrer körperlichen, sexuellen oder psychischen Integrität verletzt oder gefährdet erscheint (vgl. § 2 Abs. 1 GSG). Nach der Rechtsprechung des Verwaltungsgerichts darf ein minderjähriges Kind nicht bereits dann als gefährdete Person erachtet werden, wenn die Eltern nicht in der Lage sind, das Kind aus ihren partnerschaftlichen Problemen herauszuhalten, und wenn die Konflikte der Eltern zu Nervosität, Loyalitätskonflikten und schulischen Problemen führen; solche Probleme bestehen häufig auch bei gewaltfreien Konflikten und stellen für sich keine Gefährdung durch häusliche Gewalt dar. Übt jedoch die gefährdende Person wiederholt Gewalt gegen die gefährdete Person in Anwesenheit des Kindes aus, so kann dies zu einer Traumatisierung des Kindes führen, die es selber zu einer von (psychischer) Gewalt betroffenen Person macht (VGr, 7. April 2011, VB.2011.00142, E. 4.2; vgl. Andrea Büchler/Margot Michel, Besuchsrecht und häusliche Gewalt, FamPra 2011, S. 525 ff., 540). Von einer solchen Situation scheint die Vorinstanz ausgegangen zu sein. Vorliegend hat der Beschwerdeführer nie unmittelbar gegen die gemeinsame Tochter Gewalt ausgeübt. Unbestrittenermassen war die Tochter aber zumindest in den die Gewaltschutzmassnahmen auslösenden Vorfall involviert. Die Beschwerdegegnerin führte zudem aus, die gemeinsame Tochter sei schon bei früheren Gewaltsituationen zugegegen gewesen, wobei sie auch eine konkrete Situation schilderte, in welcher der Beschwerdeführer die Tochter auf das Sofa geschmissen habe. Die Tochter habe Angst vor dem Beschwerdeführer bekommen. Es ist somit von mehr als einem Vorfall auszugehen, bei dem die Tochter in die Streitigkeiten involviert war. Die diesbezüglichen Schilderungen der Beschwerdegegnerin erscheinen glaubhaft. Zudem sind Kinder als Zeugen von häuslicher Gewalt in ihrem Wohl gefährdet, da das Miterleben von Gewalt in der Elternbeziehung Auswirkungen auf die psychische Gesundheit der betroffenen Kinder zeitigt (Büchler/Michel, S. 551). In einem ähnlichen Fall wurde vom Verwaltungsgericht ein zweimonatiges Kontaktverbot zum knapp halbjährigen Kind geschützt, bei welchem die gefährdende Person die Ehefrau tätlich angegangen und in den Rücken getreten hat, als diese das Kind in den Armen hielt (VGr, 23. Juni 2014, VB.2014.00330, E. 3.1 und 5.4). Unter diesen Umständen ist es folglich nicht zu beanstanden, dass das Kontaktverbot gegenüber der Tochter verlängert wurde.</w:t>
      </w:r>
    </w:p>
    <w:p>
      <w:r>
        <w:rPr>
          <w:b/>
        </w:rPr>
        <w:t>E. 8.2</w:t>
      </w:r>
    </w:p>
    <w:p>
      <w:r>
        <w:t>Zu prüfen bleibt, ob die Anordnung des Kontaktverbots zwischen dem Beschwerdeführer und der gemeinsamen Tochter bis zum 23. Januar 2015 verhältnismässig ist. In diesem Zusammenhang ist zu beachten, dass ein mehrmonatiges gänzliches Kontaktverbot der gefährdenden Person zu ihrem unmündigen Kind einen schweren staatlichen Eingriff in das verfassungsmässige Recht – sowohl der gefährdenden Person als auch des Kindes – auf Familienleben darstellt. Die Anordnung eines solchen Verbots kommt deshalb nur infrage, wenn den drohenden Gefahren nicht mittels milderer Massnahmen begegnet werden kann (VGr, 11. März 2013, VB.2013.00092, E. 6.1 mit Hinweisen). Es ist davon auszugehen, dass die gemeinsame Tochter angesichts der seit bereits längerer Zeit angespannten Situation zwischen ihren Eltern eine gewisse Zeit benötigt, um zur Ruhe zu kommen, zumal die Beschwerdegegnerin aussagte, die Tochter habe Angst vor dem Beschwerdeführer, weshalb sie auch schlecht schlafe und sehr empfindlich sei. Die Verlängerung des Kontaktverbots gegenüber der Tochter um drei Monate erweist sich darum als verhältnismässig und liegt im Ermessen der Vorinstanz. Mildere Massnahmen als ein Kontaktverbot, welche dem Gesetzeszweck von § 1 Abs. 1 GSG (Schutz, Sicherheit und Unterstützung von Personen, die durch häusliche Gewalt betroffen sind) würden, waren vorliegend nicht ersichtlich. Es liegt denn auch nicht in der Kompetenz der die Gewaltschutzmassnahmen anordnenden Instanzen, andere Kindesschutzmassnahmen wie die Ausgestaltung eines Besuchsrechts oder ähnliches, anzuordnen.</w:t>
      </w:r>
    </w:p>
    <w:p>
      <w:r>
        <w:rPr>
          <w:b/>
        </w:rPr>
        <w:t>E. 8.3</w:t>
      </w:r>
    </w:p>
    <w:p>
      <w:r>
        <w:t>Die Parteien haben vor dem Eheschutzrichter mündlich ein begleitetes Besuchsrecht vereinbart, weshalb der Beschwerdeführer die sofortige Aufhebung des Kontaktverbots zur gemeinsamen Tochter verlangt, da es ihm sonst selbst in Begleitung nicht möglich wäre, die Tochter zu sehen. Schutzmassnahmen fallen gemäss § 7 GSG dahin, wenn entsprechende zivilrechtliche Massnahmen rechtskräftig angeordnet und vollzogen sind. Eheschutzmassnahmen fallen zweifelslos unter die zivilrechtlichen Massnahmen. Die Frage, welche Massnahmen als "entsprechend" gelten, ist schwieriger zu beantworten, da sie oft mit den Gewaltschutzmassnahmen nicht deckungsgleich sind. Der Begriff "rechtskräftig angeordnet und vollzogen" bedeutet, dass keine Rechtsmittelfristen mehr laufen und die Massnahme umgesetzt ist (Conne/Plüss, S. 131). Nach konstanter Rechtsprechung des Bundesgerichts ist bei der Festlegung eines Besuchsrechts in erster Linie das Kindeswohl zu berücksichtigen ( BGE 131 III 209 E. 5). Es ist davon auszugehen, dass der Eheschutzrichter dem entsprechend Rechnung tragen wird, zumal die Vereinbarung betreffend Kindsbelange der gerichtlichen Genehmigung bedarf. Das begleitete Besuchsrecht muss hier jedoch – gemäss der vorgeschlagenen Trennungsvereinbarung – zuerst über eine von der KESB noch zu errichtende Beistandschaft eingerichtet werden, was angesichts der Ratifizierungsfrist bis 9. Januar 2015 mit grosser Wahrscheinlichkeit länger als bis zum Ablauf der Schutzmassnahmen am 23. Januar 2015 dauern wird. Das Kontaktverbot zur gemeinsamen Tochter kann deshalb auch aufgrund dieses Vereinbarungsvorschlags nicht aufgehoben werden.</w:t>
      </w:r>
    </w:p>
    <w:p>
      <w:r>
        <w:rPr>
          <w:b/>
        </w:rPr>
        <w:t>E. 9.1</w:t>
      </w:r>
    </w:p>
    <w:p>
      <w:r>
        <w:t>Nach dem Gesagten hält die Verlängerung des Rayonverbots und des Kontaktverbots gegenüber der gemeinsamen Tochter bis am 23. Januar 2015 einer Rechtskontrolle stand. Die Beschwerde ist abzuweisen. Ausgangsgemäss sind die Kosten des Verfahrens dem Beschwerdeführer aufzuerlegen (§ 12 Abs. 1 GSG).</w:t>
      </w:r>
    </w:p>
    <w:p>
      <w:r>
        <w:rPr>
          <w:b/>
        </w:rPr>
        <w:t>E. 9.2</w:t>
      </w:r>
    </w:p>
    <w:p>
      <w:r>
        <w:t>Beide Parteien stellten ein Gesuch um unentgeltliche Prozessführung und unentgeltliche Rechtsverbeiständung. Gemäss § 16 Abs. 1 VRG wird Privaten, welche nicht über die nötigen finanziellen Mittel verfügen und deren Begehren nicht offensichtlich aussichtslos erscheinen, auf entsprechendes Gesuch hin, die Bezahlung von Verfahrenskosten erlassen. Zudem haben sie Anspruch auf die Bestellung eines unentgeltlichen Rechtsbeistandes, wenn sie nicht in der Lage sind, ihre Rechte im Verfahren selbst zu wahren (§ 16 Abs. 2 VRG). Es ist zu prüfen, ob die Parteien als mittellos gelten. Die Bedürftigkeit ist aufgrund der gesamten wirtschaftlichen Situation im Zeitpunkt der Gesuchseinreichung zu beurteilen. Mittellos ist, wer nicht in der Lage ist, die Verfahrenskosten aus seinem realisierbaren Einkommen und seinem Vermögen nach Abzug der Lebenshaltungskosten innert angemessener Frist effektiv zu bezahlen.</w:t>
      </w:r>
    </w:p>
    <w:p>
      <w:r>
        <w:rPr>
          <w:b/>
        </w:rPr>
        <w:t>E. 9.3</w:t>
      </w:r>
    </w:p>
    <w:p>
      <w:r>
        <w:t>Der Beschwerdeführer arbeitet auf Stundenlohnbasis und erzielt dabei ein monatliches Einkommen von durchschnittlich Fr. 4'800.- netto inklusive Kinderzulagen für seine drei Kinder. Selbst wenn man in seinem Notbedarf – davon ausgehend, dass der Beschwerdeführer nur mit diesen zusammenleben wird – nur seine beiden vorehelichen Kinder berücksichtigt, so ist er nicht in der Lage, Grundbeträge, Wohnkosten, notwendige Arbeitsauslagen, Krankenkasse für sich und die Kinder sowie gerichtsübliche Pauschalbeträge für Haftpflichtversicherung und Kommunikationskosten mit seinem Einkommen zu decken. Es ist somit von der Mittellosigkeit des Beschwerdeführers auszugehen. Die vorliegende Beschwerde war zudem nicht aussichtslos. Da sich Rechts- und Sachverhaltsfragen von einer gewissen Komplexität stellten, erweist sich die Rechtsvertretung des rechtsunkundigen Beschwerdeführers im Beschwerdeverfahren als notwendig. Demnach ist das Gesuch des Beschwerdeführers um Gewährung der unentgeltlichen Prozessführung und Rechtsvertretung gutzuheissen und ihm in der Person von Rechtsanwältin B eine unentgeltliche Rechtsvertreterin zu bestellen.</w:t>
      </w:r>
    </w:p>
    <w:p>
      <w:r>
        <w:rPr>
          <w:b/>
        </w:rPr>
        <w:t>E. 9.4</w:t>
      </w:r>
    </w:p>
    <w:p>
      <w:r>
        <w:t>Das Gesuch der Beschwerdegegnerin um unentgeltliche Prozessführung ist als gegen­standslos geworden abzuschreiben, da ihr keine Kosten aufzuerlegen sind. Die Beschwerdegegnerin bezieht Leistungen aus der Arbeitslosenkasse, welche monatlich durchschnittlich Fr. 1'200.- betragen. Da sie die eheliche Wohnung demnächst verlassen muss und ein Kleinkind zu versorgen hat, ist sie nicht in der Lage, ihren eigenen Notbedarf sowie denjenigen ihres Kindes mit ihren Einkünften zu decken, weshalb von ihrer Mittellosigkeit auszugehen ist (vgl. Plüss, Kommentar VRG, § 16 N. 23 ff.). Das Kriterium der fehlenden Aussichtslosigkeit ist vorliegend nicht zu prüfen, weil die Beschwerdegegnerin selber nicht Beschwerde erhoben hat (Plüss, Kommentar VRG, § 16 N. 44). Da der Entscheid über die Geltung des Rayonverbots als auch des Kontaktverbots gegenüber ihrer Tochter für die rechts- und sprachunkundige Beschwerdegegnerin nicht von bloss unwesentlicher Bedeutung war, bestand auch für sie eine sachliche Notwendigkeit, ihre Rechte über eine anwaltliche Vertretung zu wahren. Zuletzt ist auch der Grundsatz der Waffengleichheit zu berücksichtigen ( BGE 131 I 350 E. 3.1). Das Gesuch der Beschwerdegegnerin um unentgeltliche Rechtsvertretung ist demnach gutzuheissen und es ist ihr in der Person von Rechtsanwältin RA D eine unentgeltliche Rechtsvertreterin zu bestellen.</w:t>
      </w:r>
    </w:p>
    <w:p>
      <w:r>
        <w:rPr>
          <w:b/>
        </w:rPr>
        <w:t>E. 9.5</w:t>
      </w:r>
    </w:p>
    <w:p>
      <w:r>
        <w:t>Die Gewährung der unentgeltlichen Rechtspflege entbindet die gesuchstellende Person im Unterliegensfall nicht von der Bezahlung einer allfälligen Parteientschädigung (§ 17 Abs. 2 GSG) an die obsiegende Gegenpartei, soweit Letzere nicht unentgeltlich verbeiständet ist (Plüss, Kommentar VRG, § 16 N. 57). Sofern sie jedoch selbst in den Genuss der unentgeltlichen Rechtspflege gekommen ist, hat sie für ihre Entschädigung keinen Anspruch gegenüber der bedürftigen Partei (BGr, 19. Juli 2012, 8C_292/2012, E. 6.4). Demzufolge ist der Beschwerdegegnerin keine Parteientschädigung zuzusprechen.</w:t>
      </w:r>
    </w:p>
    <w:p>
      <w:r>
        <w:rPr>
          <w:b/>
        </w:rPr>
        <w:t>E. 9.6</w:t>
      </w:r>
    </w:p>
    <w:p>
      <w:r>
        <w:t>Die Parteien werden auf § 16 Abs. 4 VRG aufmerksam gemacht, wonach eine Partei, der die unentgeltliche Rechtspflege gewährt wurde, zur Nachzahlung verpflichtet ist, sobald sie dazu in der Lage ist. Der Anspruch des Kantons verjährt zehn Jahre nach Abschluss des Verfahrens.</w:t>
      </w:r>
    </w:p>
    <w:p>
      <w:r>
        <w:rPr>
          <w:b/>
        </w:rPr>
        <w:t>E. 9.7</w:t>
      </w:r>
    </w:p>
    <w:p>
      <w:r>
        <w:t>Die Rechtsvertreterinnen beider Parteien sind aufzufordern, dem Verwaltungsgericht binnen einer nicht erstreckbaren Frist von 30 Tagen nach Zustellung dieses Entscheides eine detaillierte Aufstellung über den Zeitaufwand und die Barauslagen für das verwaltungsgerichtliche Verfahren einzureichen, ansonsten die Entschädigung nach Ermessen festgelegt würde (§ 9 Abs. 2 der Gebührenverordnung des Verwaltungsgerichts vom 23. August 2010 [GebV VGr]).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